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8E1FF" w14:textId="77777777" w:rsidR="006F2E9C" w:rsidRDefault="00356947" w:rsidP="006F2E9C">
      <w:pPr>
        <w:tabs>
          <w:tab w:val="center" w:pos="4513"/>
        </w:tabs>
      </w:pPr>
      <w:r w:rsidRPr="00E960E3">
        <w:rPr>
          <w:noProof/>
        </w:rPr>
        <mc:AlternateContent>
          <mc:Choice Requires="wps">
            <w:drawing>
              <wp:anchor distT="0" distB="0" distL="114300" distR="114300" simplePos="0" relativeHeight="251658276" behindDoc="0" locked="0" layoutInCell="1" allowOverlap="1" wp14:anchorId="059CABEA" wp14:editId="3669033B">
                <wp:simplePos x="0" y="0"/>
                <wp:positionH relativeFrom="margin">
                  <wp:posOffset>-60960</wp:posOffset>
                </wp:positionH>
                <wp:positionV relativeFrom="paragraph">
                  <wp:posOffset>-142875</wp:posOffset>
                </wp:positionV>
                <wp:extent cx="5928360" cy="891540"/>
                <wp:effectExtent l="0" t="0" r="0" b="0"/>
                <wp:wrapNone/>
                <wp:docPr id="1864526656" name="TextBox 4"/>
                <wp:cNvGraphicFramePr/>
                <a:graphic xmlns:a="http://schemas.openxmlformats.org/drawingml/2006/main">
                  <a:graphicData uri="http://schemas.microsoft.com/office/word/2010/wordprocessingShape">
                    <wps:wsp>
                      <wps:cNvSpPr txBox="1"/>
                      <wps:spPr>
                        <a:xfrm>
                          <a:off x="0" y="0"/>
                          <a:ext cx="5928360" cy="891540"/>
                        </a:xfrm>
                        <a:prstGeom prst="rect">
                          <a:avLst/>
                        </a:prstGeom>
                        <a:noFill/>
                      </wps:spPr>
                      <wps:txbx>
                        <w:txbxContent>
                          <w:p w14:paraId="4380E579"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42F02EF8"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1346BC09" w14:textId="77777777" w:rsidR="006F2E9C" w:rsidRPr="008B58DF" w:rsidRDefault="006F2E9C" w:rsidP="006F2E9C">
                            <w:pPr>
                              <w:jc w:val="center"/>
                              <w:rPr>
                                <w:b/>
                                <w:bCs/>
                                <w:i/>
                                <w:iCs/>
                                <w:color w:val="FFFFFF"/>
                                <w:kern w:val="24"/>
                                <w:sz w:val="28"/>
                                <w:szCs w:val="2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59CABEA" id="_x0000_t202" coordsize="21600,21600" o:spt="202" path="m,l,21600r21600,l21600,xe">
                <v:stroke joinstyle="miter"/>
                <v:path gradientshapeok="t" o:connecttype="rect"/>
              </v:shapetype>
              <v:shape id="TextBox 4" o:spid="_x0000_s1026" type="#_x0000_t202" style="position:absolute;left:0;text-align:left;margin-left:-4.8pt;margin-top:-11.25pt;width:466.8pt;height:70.2pt;z-index:2516582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" filled="f" stroked="f">
                <v:textbox>
                  <w:txbxContent>
                    <w:p w14:paraId="4380E579"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42F02EF8"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1346BC09" w14:textId="77777777" w:rsidR="006F2E9C" w:rsidRPr="008B58DF" w:rsidRDefault="006F2E9C" w:rsidP="006F2E9C">
                      <w:pPr>
                        <w:jc w:val="center"/>
                        <w:rPr>
                          <w:b/>
                          <w:bCs/>
                          <w:i/>
                          <w:iCs/>
                          <w:color w:val="FFFFFF"/>
                          <w:kern w:val="24"/>
                          <w:sz w:val="28"/>
                          <w:szCs w:val="28"/>
                        </w:rPr>
                      </w:pPr>
                    </w:p>
                  </w:txbxContent>
                </v:textbox>
                <w10:wrap anchorx="margin"/>
              </v:shape>
            </w:pict>
          </mc:Fallback>
        </mc:AlternateContent>
      </w:r>
      <w:r w:rsidR="00A35715" w:rsidRPr="003E62E3">
        <w:rPr>
          <w:noProof/>
        </w:rPr>
        <mc:AlternateContent>
          <mc:Choice Requires="wps">
            <w:drawing>
              <wp:anchor distT="0" distB="0" distL="114300" distR="114300" simplePos="0" relativeHeight="251658275" behindDoc="0" locked="0" layoutInCell="1" allowOverlap="1" wp14:anchorId="37F8930F" wp14:editId="75D5C714">
                <wp:simplePos x="0" y="0"/>
                <wp:positionH relativeFrom="page">
                  <wp:posOffset>1722120</wp:posOffset>
                </wp:positionH>
                <wp:positionV relativeFrom="page">
                  <wp:posOffset>91440</wp:posOffset>
                </wp:positionV>
                <wp:extent cx="3771900" cy="266700"/>
                <wp:effectExtent l="0" t="0" r="0" b="0"/>
                <wp:wrapNone/>
                <wp:docPr id="1679643573" name="Text Box 1679643573"/>
                <wp:cNvGraphicFramePr/>
                <a:graphic xmlns:a="http://schemas.openxmlformats.org/drawingml/2006/main">
                  <a:graphicData uri="http://schemas.microsoft.com/office/word/2010/wordprocessingShape">
                    <wps:wsp>
                      <wps:cNvSpPr txBox="1"/>
                      <wps:spPr>
                        <a:xfrm>
                          <a:off x="0" y="0"/>
                          <a:ext cx="3771900" cy="266700"/>
                        </a:xfrm>
                        <a:prstGeom prst="rect">
                          <a:avLst/>
                        </a:prstGeom>
                        <a:noFill/>
                        <a:ln w="6350">
                          <a:noFill/>
                        </a:ln>
                      </wps:spPr>
                      <wps:txbx>
                        <w:txbxContent>
                          <w:p w14:paraId="23A69177" w14:textId="77777777" w:rsidR="00A35715" w:rsidRPr="000C4ECE" w:rsidRDefault="006F2E9C" w:rsidP="00A35715">
                            <w:pPr>
                              <w:rPr>
                                <w:b/>
                                <w:bCs/>
                                <w:color w:val="FFFFFF" w:themeColor="background1"/>
                                <w:sz w:val="28"/>
                                <w:szCs w:val="28"/>
                              </w:rPr>
                            </w:pPr>
                            <w:r>
                              <w:rPr>
                                <w:b/>
                                <w:bCs/>
                                <w:color w:val="FFFFFF" w:themeColor="background1"/>
                                <w:sz w:val="28"/>
                                <w:szCs w:val="28"/>
                              </w:rPr>
                              <w:t xml:space="preserve">          </w:t>
                            </w:r>
                            <w:r w:rsidR="00A35715">
                              <w:rPr>
                                <w:b/>
                                <w:bCs/>
                                <w:color w:val="FFFFFF" w:themeColor="background1"/>
                                <w:sz w:val="28"/>
                                <w:szCs w:val="28"/>
                              </w:rPr>
                              <w:t>Living</w:t>
                            </w:r>
                            <w:r w:rsidR="00A35715" w:rsidRPr="000C4ECE">
                              <w:rPr>
                                <w:b/>
                                <w:bCs/>
                                <w:color w:val="FFFFFF" w:themeColor="background1"/>
                                <w:sz w:val="28"/>
                                <w:szCs w:val="28"/>
                              </w:rPr>
                              <w:t xml:space="preserve"> ‘life in all its fullness’ (John 10:10)</w:t>
                            </w:r>
                          </w:p>
                          <w:p w14:paraId="48275AF2" w14:textId="77777777" w:rsidR="006F2E9C" w:rsidRPr="000C4ECE" w:rsidRDefault="006F2E9C" w:rsidP="006F2E9C">
                            <w:pPr>
                              <w:ind w:right="2096"/>
                              <w:jc w:val="cente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8930F" id="Text Box 1679643573" o:spid="_x0000_s1027" type="#_x0000_t202" style="position:absolute;left:0;text-align:left;margin-left:135.6pt;margin-top:7.2pt;width:297pt;height:21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" filled="f" stroked="f" strokeweight=".5pt">
                <v:textbox>
                  <w:txbxContent>
                    <w:p w14:paraId="23A69177" w14:textId="77777777" w:rsidR="00A35715" w:rsidRPr="000C4ECE" w:rsidRDefault="006F2E9C" w:rsidP="00A35715">
                      <w:pPr>
                        <w:rPr>
                          <w:b/>
                          <w:bCs/>
                          <w:color w:val="FFFFFF" w:themeColor="background1"/>
                          <w:sz w:val="28"/>
                          <w:szCs w:val="28"/>
                        </w:rPr>
                      </w:pPr>
                      <w:r>
                        <w:rPr>
                          <w:b/>
                          <w:bCs/>
                          <w:color w:val="FFFFFF" w:themeColor="background1"/>
                          <w:sz w:val="28"/>
                          <w:szCs w:val="28"/>
                        </w:rPr>
                        <w:t xml:space="preserve">          </w:t>
                      </w:r>
                      <w:r w:rsidR="00A35715">
                        <w:rPr>
                          <w:b/>
                          <w:bCs/>
                          <w:color w:val="FFFFFF" w:themeColor="background1"/>
                          <w:sz w:val="28"/>
                          <w:szCs w:val="28"/>
                        </w:rPr>
                        <w:t>Living</w:t>
                      </w:r>
                      <w:r w:rsidR="00A35715" w:rsidRPr="000C4ECE">
                        <w:rPr>
                          <w:b/>
                          <w:bCs/>
                          <w:color w:val="FFFFFF" w:themeColor="background1"/>
                          <w:sz w:val="28"/>
                          <w:szCs w:val="28"/>
                        </w:rPr>
                        <w:t xml:space="preserve"> ‘life in all its fullness’ (John 10:10)</w:t>
                      </w:r>
                    </w:p>
                    <w:p w14:paraId="48275AF2" w14:textId="77777777" w:rsidR="006F2E9C" w:rsidRPr="000C4ECE" w:rsidRDefault="006F2E9C" w:rsidP="006F2E9C">
                      <w:pPr>
                        <w:ind w:right="2096"/>
                        <w:jc w:val="center"/>
                        <w:rPr>
                          <w:b/>
                          <w:bCs/>
                          <w:color w:val="FFFFFF" w:themeColor="background1"/>
                          <w:sz w:val="28"/>
                          <w:szCs w:val="28"/>
                        </w:rPr>
                      </w:pPr>
                    </w:p>
                  </w:txbxContent>
                </v:textbox>
                <w10:wrap anchorx="page" anchory="page"/>
              </v:shape>
            </w:pict>
          </mc:Fallback>
        </mc:AlternateContent>
      </w:r>
      <w:r w:rsidR="006F2E9C">
        <w:rPr>
          <w:noProof/>
        </w:rPr>
        <w:drawing>
          <wp:anchor distT="0" distB="0" distL="114300" distR="114300" simplePos="0" relativeHeight="251658274" behindDoc="1" locked="0" layoutInCell="1" allowOverlap="1" wp14:anchorId="7DE58EC4" wp14:editId="61EE5C1D">
            <wp:simplePos x="0" y="0"/>
            <wp:positionH relativeFrom="page">
              <wp:align>right</wp:align>
            </wp:positionH>
            <wp:positionV relativeFrom="paragraph">
              <wp:posOffset>-821690</wp:posOffset>
            </wp:positionV>
            <wp:extent cx="7566660" cy="1844040"/>
            <wp:effectExtent l="0" t="0" r="0" b="3810"/>
            <wp:wrapNone/>
            <wp:docPr id="894856989" name="Picture 894856989"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6660" cy="1844040"/>
                    </a:xfrm>
                    <a:prstGeom prst="rect">
                      <a:avLst/>
                    </a:prstGeom>
                  </pic:spPr>
                </pic:pic>
              </a:graphicData>
            </a:graphic>
            <wp14:sizeRelH relativeFrom="margin">
              <wp14:pctWidth>0</wp14:pctWidth>
            </wp14:sizeRelH>
            <wp14:sizeRelV relativeFrom="margin">
              <wp14:pctHeight>0</wp14:pctHeight>
            </wp14:sizeRelV>
          </wp:anchor>
        </w:drawing>
      </w:r>
      <w:r w:rsidR="006F2E9C">
        <w:tab/>
      </w:r>
    </w:p>
    <w:p w14:paraId="1682D8DE" w14:textId="77777777" w:rsidR="006F2E9C" w:rsidRDefault="006F2E9C" w:rsidP="006F2E9C"/>
    <w:p w14:paraId="34C67F69" w14:textId="77777777" w:rsidR="006F2E9C" w:rsidRDefault="006F2E9C" w:rsidP="006F2E9C">
      <w:pPr>
        <w:pStyle w:val="BodyText"/>
        <w:rPr>
          <w:b/>
          <w:sz w:val="28"/>
        </w:rPr>
      </w:pPr>
    </w:p>
    <w:p w14:paraId="3E12B2EA" w14:textId="77777777" w:rsidR="006F2E9C" w:rsidRDefault="006F2E9C" w:rsidP="006F2E9C">
      <w:pPr>
        <w:pStyle w:val="BodyText"/>
        <w:spacing w:before="197"/>
        <w:ind w:left="620" w:right="1767"/>
      </w:pPr>
    </w:p>
    <w:p w14:paraId="6E6697B1" w14:textId="77777777" w:rsidR="006F2E9C" w:rsidRPr="00BA621F" w:rsidRDefault="006F2E9C" w:rsidP="006F2E9C">
      <w:pPr>
        <w:spacing w:after="216" w:line="259" w:lineRule="auto"/>
        <w:ind w:right="8"/>
        <w:jc w:val="center"/>
        <w:rPr>
          <w:color w:val="671E75" w:themeColor="text1"/>
        </w:rPr>
      </w:pPr>
      <w:r w:rsidRPr="00BA621F">
        <w:rPr>
          <w:color w:val="671E75" w:themeColor="text1"/>
        </w:rPr>
        <w:t xml:space="preserve"> </w:t>
      </w:r>
    </w:p>
    <w:p w14:paraId="70D65596" w14:textId="77777777" w:rsidR="006F2E9C" w:rsidRDefault="006F2E9C" w:rsidP="00B70055">
      <w:pPr>
        <w:spacing w:line="259" w:lineRule="auto"/>
        <w:jc w:val="center"/>
        <w:rPr>
          <w:rFonts w:cstheme="minorHAnsi"/>
          <w:b/>
          <w:color w:val="671E75" w:themeColor="text1"/>
          <w:sz w:val="44"/>
          <w:szCs w:val="44"/>
        </w:rPr>
      </w:pPr>
      <w:bookmarkStart w:id="0" w:name="Investments"/>
      <w:bookmarkEnd w:id="0"/>
      <w:r w:rsidRPr="0026745C">
        <w:rPr>
          <w:rFonts w:cstheme="minorHAnsi"/>
          <w:b/>
          <w:color w:val="671E75" w:themeColor="text1"/>
          <w:sz w:val="44"/>
          <w:szCs w:val="44"/>
        </w:rPr>
        <w:t>Investment Policy</w:t>
      </w:r>
    </w:p>
    <w:p w14:paraId="699E5819" w14:textId="77777777" w:rsidR="006F2E9C" w:rsidRPr="00191FAD" w:rsidRDefault="006F2E9C" w:rsidP="006F2E9C">
      <w:pPr>
        <w:spacing w:line="259" w:lineRule="auto"/>
        <w:ind w:left="567"/>
        <w:jc w:val="center"/>
        <w:rPr>
          <w:rFonts w:ascii="Arial" w:hAnsi="Arial" w:cs="Arial"/>
          <w:color w:val="671E75" w:themeColor="text1"/>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6135"/>
      </w:tblGrid>
      <w:tr w:rsidR="006F2E9C" w:rsidRPr="00077429" w14:paraId="59957662"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AA6939D"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ODBST Level 1 Statutory Policy:</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6379FAC0" w14:textId="36CA85ED" w:rsidR="006F2E9C" w:rsidRPr="00356947" w:rsidRDefault="00356947" w:rsidP="0056148F">
            <w:pPr>
              <w:jc w:val="left"/>
              <w:textAlignment w:val="baseline"/>
              <w:rPr>
                <w:rFonts w:ascii="Segoe UI" w:eastAsia="Times New Roman" w:hAnsi="Segoe UI" w:cs="Segoe UI"/>
                <w:sz w:val="18"/>
                <w:szCs w:val="18"/>
              </w:rPr>
            </w:pPr>
            <w:r w:rsidRPr="00356947">
              <w:rPr>
                <w:rFonts w:eastAsia="Times New Roman" w:cs="Calibri"/>
                <w:b/>
                <w:bCs/>
                <w:lang w:eastAsia="en-GB"/>
              </w:rPr>
              <w:t>ALL</w:t>
            </w:r>
            <w:r w:rsidRPr="00356947">
              <w:rPr>
                <w:rFonts w:eastAsia="Times New Roman" w:cs="Calibri"/>
                <w:lang w:eastAsia="en-GB"/>
              </w:rPr>
              <w:t xml:space="preserve"> Schools require this policy with </w:t>
            </w:r>
            <w:r w:rsidRPr="00356947">
              <w:rPr>
                <w:rFonts w:eastAsia="Times New Roman" w:cs="Calibri"/>
                <w:b/>
                <w:bCs/>
                <w:lang w:eastAsia="en-GB"/>
              </w:rPr>
              <w:t>no changes</w:t>
            </w:r>
            <w:r w:rsidRPr="00356947">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356947">
              <w:rPr>
                <w:rFonts w:eastAsia="Times New Roman" w:cs="Calibri"/>
                <w:b/>
                <w:bCs/>
                <w:lang w:eastAsia="en-GB"/>
              </w:rPr>
              <w:t xml:space="preserve">except </w:t>
            </w:r>
            <w:r w:rsidRPr="00356947">
              <w:rPr>
                <w:rFonts w:eastAsia="Times New Roman" w:cs="Calibri"/>
                <w:lang w:eastAsia="en-GB"/>
              </w:rPr>
              <w:t>where a school contact is required as identified in the content of the policy. LG</w:t>
            </w:r>
            <w:r w:rsidR="007B3F0F">
              <w:rPr>
                <w:rFonts w:eastAsia="Times New Roman" w:cs="Calibri"/>
                <w:lang w:eastAsia="en-GB"/>
              </w:rPr>
              <w:t>C</w:t>
            </w:r>
            <w:r w:rsidRPr="00356947">
              <w:rPr>
                <w:rFonts w:eastAsia="Times New Roman" w:cs="Calibri"/>
                <w:lang w:eastAsia="en-GB"/>
              </w:rPr>
              <w:t xml:space="preserve">s will </w:t>
            </w:r>
            <w:r w:rsidRPr="00356947">
              <w:rPr>
                <w:rFonts w:eastAsia="Times New Roman" w:cs="Calibri"/>
                <w:b/>
                <w:bCs/>
                <w:lang w:eastAsia="en-GB"/>
              </w:rPr>
              <w:t>note</w:t>
            </w:r>
            <w:r w:rsidRPr="00356947">
              <w:rPr>
                <w:rFonts w:eastAsia="Times New Roman" w:cs="Calibri"/>
                <w:lang w:eastAsia="en-GB"/>
              </w:rPr>
              <w:t xml:space="preserve"> adoption in LG</w:t>
            </w:r>
            <w:r w:rsidR="007B3F0F">
              <w:rPr>
                <w:rFonts w:eastAsia="Times New Roman" w:cs="Calibri"/>
                <w:lang w:eastAsia="en-GB"/>
              </w:rPr>
              <w:t>C</w:t>
            </w:r>
            <w:r w:rsidRPr="00356947">
              <w:rPr>
                <w:rFonts w:eastAsia="Times New Roman" w:cs="Calibri"/>
                <w:lang w:eastAsia="en-GB"/>
              </w:rPr>
              <w:t xml:space="preserve"> meetings. Review will take place at Trust level, and schools will be notified of updates and review dates as necessary. </w:t>
            </w:r>
          </w:p>
        </w:tc>
      </w:tr>
      <w:tr w:rsidR="006F2E9C" w:rsidRPr="00077429" w14:paraId="5D5F7886"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55EB7740"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Other related ODBST policies and procedures: </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454AB06F" w14:textId="77777777" w:rsidR="006F2E9C" w:rsidRPr="00077429" w:rsidRDefault="006F2E9C" w:rsidP="0056148F">
            <w:pPr>
              <w:jc w:val="left"/>
              <w:textAlignment w:val="baseline"/>
              <w:rPr>
                <w:rFonts w:ascii="Segoe UI" w:eastAsia="Times New Roman" w:hAnsi="Segoe UI" w:cs="Segoe UI"/>
                <w:sz w:val="18"/>
                <w:szCs w:val="18"/>
              </w:rPr>
            </w:pPr>
            <w:r w:rsidRPr="00077429">
              <w:rPr>
                <w:rFonts w:ascii="Calibri" w:eastAsia="Times New Roman" w:hAnsi="Calibri" w:cs="Calibri"/>
              </w:rPr>
              <w:t> </w:t>
            </w:r>
            <w:r>
              <w:rPr>
                <w:rFonts w:ascii="Calibri" w:eastAsia="Times New Roman" w:hAnsi="Calibri" w:cs="Calibri"/>
              </w:rPr>
              <w:t>ODBST Finance Manual</w:t>
            </w:r>
          </w:p>
        </w:tc>
      </w:tr>
      <w:tr w:rsidR="006F2E9C" w:rsidRPr="00077429" w14:paraId="7458D9E0"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329FA398"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Committee responsible: </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153BBD0" w14:textId="77777777" w:rsidR="006F2E9C" w:rsidRPr="00077429" w:rsidRDefault="006F2E9C" w:rsidP="0056148F">
            <w:pPr>
              <w:jc w:val="left"/>
              <w:textAlignment w:val="baseline"/>
              <w:rPr>
                <w:rFonts w:ascii="Segoe UI" w:eastAsia="Times New Roman" w:hAnsi="Segoe UI" w:cs="Segoe UI"/>
                <w:sz w:val="18"/>
                <w:szCs w:val="18"/>
              </w:rPr>
            </w:pPr>
            <w:r w:rsidRPr="00077429">
              <w:rPr>
                <w:rFonts w:ascii="Calibri" w:eastAsia="Times New Roman" w:hAnsi="Calibri" w:cs="Calibri"/>
              </w:rPr>
              <w:t> </w:t>
            </w:r>
            <w:r>
              <w:rPr>
                <w:rFonts w:ascii="Calibri" w:eastAsia="Times New Roman" w:hAnsi="Calibri" w:cs="Calibri"/>
              </w:rPr>
              <w:t>FRAPP</w:t>
            </w:r>
          </w:p>
        </w:tc>
      </w:tr>
      <w:tr w:rsidR="006F2E9C" w:rsidRPr="00077429" w14:paraId="503891D5"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0FAB52E0"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Approved by: </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A970F73" w14:textId="77777777" w:rsidR="006F2E9C" w:rsidRPr="00077429" w:rsidRDefault="006F2E9C" w:rsidP="0056148F">
            <w:pPr>
              <w:jc w:val="left"/>
              <w:textAlignment w:val="baseline"/>
              <w:rPr>
                <w:rFonts w:ascii="Segoe UI" w:eastAsia="Times New Roman" w:hAnsi="Segoe UI" w:cs="Segoe UI"/>
                <w:sz w:val="18"/>
                <w:szCs w:val="18"/>
              </w:rPr>
            </w:pPr>
            <w:r w:rsidRPr="00077429">
              <w:rPr>
                <w:rFonts w:ascii="Calibri" w:eastAsia="Times New Roman" w:hAnsi="Calibri" w:cs="Calibri"/>
              </w:rPr>
              <w:t> </w:t>
            </w:r>
            <w:r w:rsidR="00732E54">
              <w:rPr>
                <w:rFonts w:ascii="Calibri" w:eastAsia="Times New Roman" w:hAnsi="Calibri" w:cs="Calibri"/>
              </w:rPr>
              <w:t>FRAPP</w:t>
            </w:r>
          </w:p>
        </w:tc>
      </w:tr>
      <w:tr w:rsidR="006F2E9C" w:rsidRPr="00077429" w14:paraId="29E7DFA1"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3F772A"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Date Approved:</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0ECB577C" w14:textId="77777777" w:rsidR="006F2E9C" w:rsidRPr="00077429" w:rsidRDefault="006F2E9C" w:rsidP="0056148F">
            <w:pPr>
              <w:jc w:val="left"/>
              <w:textAlignment w:val="baseline"/>
              <w:rPr>
                <w:rFonts w:ascii="Segoe UI" w:eastAsia="Times New Roman" w:hAnsi="Segoe UI" w:cs="Segoe UI"/>
                <w:sz w:val="18"/>
                <w:szCs w:val="18"/>
              </w:rPr>
            </w:pPr>
            <w:r w:rsidRPr="00077429">
              <w:rPr>
                <w:rFonts w:ascii="Calibri" w:eastAsia="Times New Roman" w:hAnsi="Calibri" w:cs="Calibri"/>
              </w:rPr>
              <w:t> </w:t>
            </w:r>
            <w:r w:rsidR="00FE1D31">
              <w:rPr>
                <w:rFonts w:ascii="Calibri" w:eastAsia="Times New Roman" w:hAnsi="Calibri" w:cs="Calibri"/>
              </w:rPr>
              <w:t>27</w:t>
            </w:r>
            <w:r w:rsidR="009263AB" w:rsidRPr="009263AB">
              <w:rPr>
                <w:rFonts w:ascii="Calibri" w:eastAsia="Times New Roman" w:hAnsi="Calibri" w:cs="Calibri"/>
                <w:vertAlign w:val="superscript"/>
              </w:rPr>
              <w:t>th</w:t>
            </w:r>
            <w:r w:rsidR="009263AB">
              <w:rPr>
                <w:rFonts w:ascii="Calibri" w:eastAsia="Times New Roman" w:hAnsi="Calibri" w:cs="Calibri"/>
              </w:rPr>
              <w:t xml:space="preserve"> September </w:t>
            </w:r>
            <w:r w:rsidR="00FE1D31">
              <w:rPr>
                <w:rFonts w:ascii="Calibri" w:eastAsia="Times New Roman" w:hAnsi="Calibri" w:cs="Calibri"/>
              </w:rPr>
              <w:t>2023</w:t>
            </w:r>
          </w:p>
        </w:tc>
      </w:tr>
      <w:tr w:rsidR="006F2E9C" w:rsidRPr="00077429" w14:paraId="756712AC" w14:textId="77777777" w:rsidTr="0056148F">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7AE414" w14:textId="77777777" w:rsidR="006F2E9C" w:rsidRPr="00077429" w:rsidRDefault="006F2E9C" w:rsidP="0056148F">
            <w:pPr>
              <w:jc w:val="center"/>
              <w:textAlignment w:val="baseline"/>
              <w:rPr>
                <w:rFonts w:ascii="Segoe UI" w:eastAsia="Times New Roman" w:hAnsi="Segoe UI" w:cs="Segoe UI"/>
                <w:sz w:val="18"/>
                <w:szCs w:val="18"/>
              </w:rPr>
            </w:pPr>
            <w:r w:rsidRPr="00077429">
              <w:rPr>
                <w:rFonts w:ascii="Calibri" w:eastAsia="Times New Roman" w:hAnsi="Calibri" w:cs="Calibri"/>
                <w:b/>
                <w:bCs/>
              </w:rPr>
              <w:t>Review date:</w:t>
            </w:r>
            <w:r w:rsidRPr="00077429">
              <w:rPr>
                <w:rFonts w:ascii="Calibri" w:eastAsia="Times New Roman" w:hAnsi="Calibri" w:cs="Calibri"/>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688C9CC5" w14:textId="77777777" w:rsidR="006F2E9C" w:rsidRPr="00077429" w:rsidRDefault="006F2E9C" w:rsidP="0056148F">
            <w:pPr>
              <w:jc w:val="left"/>
              <w:textAlignment w:val="baseline"/>
              <w:rPr>
                <w:rFonts w:ascii="Segoe UI" w:eastAsia="Times New Roman" w:hAnsi="Segoe UI" w:cs="Segoe UI"/>
                <w:sz w:val="18"/>
                <w:szCs w:val="18"/>
              </w:rPr>
            </w:pPr>
            <w:r w:rsidRPr="00077429">
              <w:rPr>
                <w:rFonts w:ascii="Calibri" w:eastAsia="Times New Roman" w:hAnsi="Calibri" w:cs="Calibri"/>
              </w:rPr>
              <w:t> </w:t>
            </w:r>
            <w:r w:rsidR="009263AB">
              <w:rPr>
                <w:rFonts w:ascii="Calibri" w:eastAsia="Times New Roman" w:hAnsi="Calibri" w:cs="Calibri"/>
              </w:rPr>
              <w:t>Autumn</w:t>
            </w:r>
            <w:r w:rsidR="00FE1D31">
              <w:rPr>
                <w:rFonts w:ascii="Calibri" w:eastAsia="Times New Roman" w:hAnsi="Calibri" w:cs="Calibri"/>
              </w:rPr>
              <w:t xml:space="preserve"> 2026</w:t>
            </w:r>
          </w:p>
        </w:tc>
      </w:tr>
    </w:tbl>
    <w:p w14:paraId="0E4439E9" w14:textId="77777777" w:rsidR="006F2E9C" w:rsidRPr="0026745C" w:rsidRDefault="006F2E9C" w:rsidP="006F2E9C">
      <w:pPr>
        <w:spacing w:line="259" w:lineRule="auto"/>
        <w:jc w:val="left"/>
        <w:rPr>
          <w:rFonts w:cstheme="minorHAnsi"/>
          <w:color w:val="671E75" w:themeColor="text1"/>
        </w:rPr>
      </w:pPr>
      <w:r w:rsidRPr="0026745C">
        <w:rPr>
          <w:rFonts w:cstheme="minorHAnsi"/>
          <w:color w:val="671E75" w:themeColor="text1"/>
        </w:rPr>
        <w:t xml:space="preserve"> </w:t>
      </w:r>
    </w:p>
    <w:p w14:paraId="6A6E68FF" w14:textId="77777777" w:rsidR="008F353E" w:rsidRDefault="008F353E" w:rsidP="008F353E">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disadvantaged</w:t>
      </w:r>
      <w:r>
        <w:rPr>
          <w:noProof/>
          <w:sz w:val="16"/>
          <w:szCs w:val="16"/>
        </w:rPr>
        <w:t>.</w:t>
      </w:r>
    </w:p>
    <w:p w14:paraId="28BEF82C" w14:textId="77777777" w:rsidR="006F2E9C" w:rsidRPr="0026745C" w:rsidRDefault="006F2E9C" w:rsidP="006F2E9C">
      <w:pPr>
        <w:spacing w:line="259" w:lineRule="auto"/>
        <w:jc w:val="left"/>
        <w:rPr>
          <w:rFonts w:cstheme="minorHAnsi"/>
          <w:color w:val="671E75" w:themeColor="text1"/>
        </w:rPr>
      </w:pPr>
    </w:p>
    <w:p w14:paraId="41437B4A" w14:textId="77777777" w:rsidR="006F2E9C" w:rsidRPr="0026745C" w:rsidRDefault="006F2E9C" w:rsidP="006F2E9C">
      <w:pPr>
        <w:spacing w:line="259" w:lineRule="auto"/>
        <w:jc w:val="left"/>
        <w:rPr>
          <w:rFonts w:cstheme="minorHAnsi"/>
          <w:color w:val="671E75" w:themeColor="text1"/>
        </w:rPr>
      </w:pPr>
      <w:r w:rsidRPr="0026745C">
        <w:rPr>
          <w:rFonts w:cstheme="minorHAnsi"/>
          <w:color w:val="671E75" w:themeColor="text1"/>
        </w:rPr>
        <w:t xml:space="preserve"> </w:t>
      </w:r>
    </w:p>
    <w:p w14:paraId="54DD8E6A" w14:textId="77777777" w:rsidR="006F2E9C" w:rsidRPr="0026745C" w:rsidRDefault="006F2E9C" w:rsidP="006F2E9C">
      <w:pPr>
        <w:tabs>
          <w:tab w:val="center" w:pos="4513"/>
        </w:tabs>
        <w:spacing w:line="259" w:lineRule="auto"/>
        <w:jc w:val="left"/>
        <w:rPr>
          <w:rFonts w:cstheme="minorHAnsi"/>
          <w:color w:val="671E75" w:themeColor="text1"/>
        </w:rPr>
      </w:pPr>
      <w:r w:rsidRPr="0026745C">
        <w:rPr>
          <w:rFonts w:cstheme="minorHAnsi"/>
          <w:color w:val="671E75" w:themeColor="text1"/>
        </w:rPr>
        <w:t xml:space="preserve"> </w:t>
      </w:r>
      <w:r w:rsidRPr="0026745C">
        <w:rPr>
          <w:rFonts w:cstheme="minorHAnsi"/>
          <w:color w:val="671E75" w:themeColor="text1"/>
        </w:rPr>
        <w:tab/>
      </w:r>
    </w:p>
    <w:p w14:paraId="52AD4BC1" w14:textId="77777777" w:rsidR="006F2E9C" w:rsidRDefault="006F2E9C" w:rsidP="006F2E9C">
      <w:pPr>
        <w:spacing w:after="220" w:line="259" w:lineRule="auto"/>
        <w:jc w:val="left"/>
        <w:rPr>
          <w:rFonts w:cstheme="minorHAnsi"/>
          <w:color w:val="671E75" w:themeColor="text1"/>
        </w:rPr>
      </w:pPr>
      <w:r w:rsidRPr="0026745C">
        <w:rPr>
          <w:rFonts w:cstheme="minorHAnsi"/>
          <w:color w:val="671E75" w:themeColor="text1"/>
        </w:rPr>
        <w:t xml:space="preserve"> </w:t>
      </w:r>
    </w:p>
    <w:p w14:paraId="5D3FFD62" w14:textId="77777777" w:rsidR="006F2E9C" w:rsidRDefault="006F2E9C" w:rsidP="006F2E9C">
      <w:pPr>
        <w:spacing w:after="220" w:line="259" w:lineRule="auto"/>
        <w:jc w:val="left"/>
        <w:rPr>
          <w:rFonts w:cstheme="minorHAnsi"/>
          <w:color w:val="671E75" w:themeColor="text1"/>
        </w:rPr>
      </w:pPr>
    </w:p>
    <w:p w14:paraId="7AE8835F" w14:textId="77777777" w:rsidR="006F2E9C" w:rsidRDefault="006F2E9C" w:rsidP="006F2E9C">
      <w:pPr>
        <w:spacing w:after="220" w:line="259" w:lineRule="auto"/>
        <w:jc w:val="left"/>
        <w:rPr>
          <w:rFonts w:cstheme="minorHAnsi"/>
          <w:color w:val="671E75" w:themeColor="text1"/>
        </w:rPr>
      </w:pPr>
    </w:p>
    <w:p w14:paraId="4504CD7F" w14:textId="77777777" w:rsidR="006F2E9C" w:rsidRPr="0084057B" w:rsidRDefault="006F2E9C" w:rsidP="006F2E9C">
      <w:pPr>
        <w:spacing w:after="220" w:line="259" w:lineRule="auto"/>
        <w:jc w:val="left"/>
        <w:rPr>
          <w:rFonts w:cstheme="minorHAnsi"/>
          <w:color w:val="671E75" w:themeColor="text1"/>
        </w:rPr>
      </w:pPr>
    </w:p>
    <w:p w14:paraId="644C4FE2" w14:textId="77777777" w:rsidR="006F2E9C" w:rsidRPr="0084057B" w:rsidRDefault="006F2E9C" w:rsidP="006F2E9C">
      <w:pPr>
        <w:spacing w:after="220" w:line="259" w:lineRule="auto"/>
        <w:jc w:val="left"/>
        <w:rPr>
          <w:rFonts w:cstheme="minorHAnsi"/>
          <w:color w:val="671E75" w:themeColor="text1"/>
        </w:rPr>
      </w:pPr>
    </w:p>
    <w:p w14:paraId="5EA18DA1" w14:textId="77777777" w:rsidR="006F2E9C" w:rsidRPr="0084057B" w:rsidRDefault="006F2E9C" w:rsidP="006F2E9C">
      <w:pPr>
        <w:spacing w:after="220" w:line="259" w:lineRule="auto"/>
        <w:jc w:val="left"/>
        <w:rPr>
          <w:rFonts w:cstheme="minorHAnsi"/>
          <w:color w:val="671E75" w:themeColor="text1"/>
        </w:rPr>
      </w:pPr>
    </w:p>
    <w:p w14:paraId="76C35557" w14:textId="77777777" w:rsidR="006F2E9C" w:rsidRPr="0084057B" w:rsidRDefault="006F2E9C" w:rsidP="006F2E9C">
      <w:pPr>
        <w:spacing w:after="220" w:line="259" w:lineRule="auto"/>
        <w:jc w:val="left"/>
        <w:rPr>
          <w:rFonts w:cstheme="minorHAnsi"/>
          <w:color w:val="671E75" w:themeColor="text1"/>
        </w:rPr>
      </w:pPr>
    </w:p>
    <w:p w14:paraId="3FA9184C" w14:textId="5747C7D0" w:rsidR="000C3E9C" w:rsidRDefault="00E853FC">
      <w:pPr>
        <w:pStyle w:val="TOCHeading"/>
        <w:pageBreakBefore/>
      </w:pPr>
      <w:r>
        <w:lastRenderedPageBreak/>
        <w:t>Contents</w:t>
      </w:r>
    </w:p>
    <w:p w14:paraId="5515F3CD" w14:textId="77777777" w:rsidR="000C3E9C" w:rsidRDefault="00D571A0">
      <w:pPr>
        <w:pStyle w:val="TOC1"/>
        <w:tabs>
          <w:tab w:val="right" w:leader="dot" w:pos="9016"/>
        </w:tabs>
        <w:rPr>
          <w:noProof/>
        </w:rPr>
      </w:pPr>
      <w:r>
        <w:fldChar w:fldCharType="begin"/>
      </w:r>
      <w:r>
        <w:instrText xml:space="preserve"> TOC \o "1-1" \h \z \u </w:instrText>
      </w:r>
      <w:r>
        <w:fldChar w:fldCharType="separate"/>
      </w:r>
      <w:hyperlink w:anchor="_Toc800010000" w:history="1">
        <w:r w:rsidR="000C3E9C">
          <w:rPr>
            <w:rStyle w:val="Hyperlink"/>
            <w:noProof/>
          </w:rPr>
          <w:t>Purpose and scope</w:t>
        </w:r>
        <w:r w:rsidR="000C3E9C">
          <w:rPr>
            <w:noProof/>
            <w:webHidden/>
          </w:rPr>
          <w:tab/>
        </w:r>
        <w:r w:rsidR="000C3E9C">
          <w:rPr>
            <w:noProof/>
            <w:webHidden/>
          </w:rPr>
          <w:fldChar w:fldCharType="begin"/>
        </w:r>
        <w:r w:rsidR="000C3E9C">
          <w:rPr>
            <w:noProof/>
            <w:webHidden/>
          </w:rPr>
          <w:instrText xml:space="preserve"> PAGEREF _Toc800010000 \h </w:instrText>
        </w:r>
        <w:r w:rsidR="000C3E9C">
          <w:rPr>
            <w:noProof/>
            <w:webHidden/>
          </w:rPr>
        </w:r>
        <w:r w:rsidR="000C3E9C">
          <w:rPr>
            <w:noProof/>
            <w:webHidden/>
          </w:rPr>
          <w:fldChar w:fldCharType="separate"/>
        </w:r>
        <w:r w:rsidR="000C3E9C">
          <w:rPr>
            <w:noProof/>
            <w:webHidden/>
          </w:rPr>
          <w:t>3</w:t>
        </w:r>
        <w:r w:rsidR="000C3E9C">
          <w:rPr>
            <w:noProof/>
            <w:webHidden/>
          </w:rPr>
          <w:fldChar w:fldCharType="end"/>
        </w:r>
      </w:hyperlink>
    </w:p>
    <w:p w14:paraId="4636D14B" w14:textId="77777777" w:rsidR="000C3E9C" w:rsidRDefault="000C3E9C">
      <w:pPr>
        <w:pStyle w:val="TOC1"/>
        <w:tabs>
          <w:tab w:val="right" w:leader="dot" w:pos="9016"/>
        </w:tabs>
        <w:rPr>
          <w:noProof/>
        </w:rPr>
      </w:pPr>
      <w:hyperlink w:anchor="_Toc800010001" w:history="1">
        <w:r>
          <w:rPr>
            <w:rStyle w:val="Hyperlink"/>
            <w:noProof/>
          </w:rPr>
          <w:t>Responsibility</w:t>
        </w:r>
        <w:r>
          <w:rPr>
            <w:noProof/>
            <w:webHidden/>
          </w:rPr>
          <w:tab/>
        </w:r>
        <w:r>
          <w:rPr>
            <w:noProof/>
            <w:webHidden/>
          </w:rPr>
          <w:fldChar w:fldCharType="begin"/>
        </w:r>
        <w:r>
          <w:rPr>
            <w:noProof/>
            <w:webHidden/>
          </w:rPr>
          <w:instrText xml:space="preserve"> PAGEREF _Toc800010001 \h </w:instrText>
        </w:r>
        <w:r>
          <w:rPr>
            <w:noProof/>
            <w:webHidden/>
          </w:rPr>
        </w:r>
        <w:r>
          <w:rPr>
            <w:noProof/>
            <w:webHidden/>
          </w:rPr>
          <w:fldChar w:fldCharType="separate"/>
        </w:r>
        <w:r>
          <w:rPr>
            <w:noProof/>
            <w:webHidden/>
          </w:rPr>
          <w:t>3</w:t>
        </w:r>
        <w:r>
          <w:rPr>
            <w:noProof/>
            <w:webHidden/>
          </w:rPr>
          <w:fldChar w:fldCharType="end"/>
        </w:r>
      </w:hyperlink>
    </w:p>
    <w:p w14:paraId="40081193" w14:textId="77777777" w:rsidR="000C3E9C" w:rsidRDefault="000C3E9C">
      <w:pPr>
        <w:pStyle w:val="TOC1"/>
        <w:tabs>
          <w:tab w:val="right" w:leader="dot" w:pos="9016"/>
        </w:tabs>
        <w:rPr>
          <w:noProof/>
        </w:rPr>
      </w:pPr>
      <w:hyperlink w:anchor="_Toc800010002" w:history="1">
        <w:r>
          <w:rPr>
            <w:rStyle w:val="Hyperlink"/>
            <w:noProof/>
          </w:rPr>
          <w:t>Objectives</w:t>
        </w:r>
        <w:r>
          <w:rPr>
            <w:noProof/>
            <w:webHidden/>
          </w:rPr>
          <w:tab/>
        </w:r>
        <w:r>
          <w:rPr>
            <w:noProof/>
            <w:webHidden/>
          </w:rPr>
          <w:fldChar w:fldCharType="begin"/>
        </w:r>
        <w:r>
          <w:rPr>
            <w:noProof/>
            <w:webHidden/>
          </w:rPr>
          <w:instrText xml:space="preserve"> PAGEREF _Toc800010002 \h </w:instrText>
        </w:r>
        <w:r>
          <w:rPr>
            <w:noProof/>
            <w:webHidden/>
          </w:rPr>
        </w:r>
        <w:r>
          <w:rPr>
            <w:noProof/>
            <w:webHidden/>
          </w:rPr>
          <w:fldChar w:fldCharType="separate"/>
        </w:r>
        <w:r>
          <w:rPr>
            <w:noProof/>
            <w:webHidden/>
          </w:rPr>
          <w:t>3</w:t>
        </w:r>
        <w:r>
          <w:rPr>
            <w:noProof/>
            <w:webHidden/>
          </w:rPr>
          <w:fldChar w:fldCharType="end"/>
        </w:r>
      </w:hyperlink>
    </w:p>
    <w:p w14:paraId="1096FA63" w14:textId="77777777" w:rsidR="000C3E9C" w:rsidRDefault="000C3E9C">
      <w:pPr>
        <w:pStyle w:val="TOC1"/>
        <w:tabs>
          <w:tab w:val="right" w:leader="dot" w:pos="9016"/>
        </w:tabs>
        <w:rPr>
          <w:noProof/>
        </w:rPr>
      </w:pPr>
      <w:hyperlink w:anchor="_Toc800010003" w:history="1">
        <w:r>
          <w:rPr>
            <w:rStyle w:val="Hyperlink"/>
            <w:noProof/>
          </w:rPr>
          <w:t>Counterparty risk</w:t>
        </w:r>
        <w:r>
          <w:rPr>
            <w:noProof/>
            <w:webHidden/>
          </w:rPr>
          <w:tab/>
        </w:r>
        <w:r>
          <w:rPr>
            <w:noProof/>
            <w:webHidden/>
          </w:rPr>
          <w:fldChar w:fldCharType="begin"/>
        </w:r>
        <w:r>
          <w:rPr>
            <w:noProof/>
            <w:webHidden/>
          </w:rPr>
          <w:instrText xml:space="preserve"> PAGEREF _Toc800010003 \h </w:instrText>
        </w:r>
        <w:r>
          <w:rPr>
            <w:noProof/>
            <w:webHidden/>
          </w:rPr>
        </w:r>
        <w:r>
          <w:rPr>
            <w:noProof/>
            <w:webHidden/>
          </w:rPr>
          <w:fldChar w:fldCharType="separate"/>
        </w:r>
        <w:r>
          <w:rPr>
            <w:noProof/>
            <w:webHidden/>
          </w:rPr>
          <w:t>3</w:t>
        </w:r>
        <w:r>
          <w:rPr>
            <w:noProof/>
            <w:webHidden/>
          </w:rPr>
          <w:fldChar w:fldCharType="end"/>
        </w:r>
      </w:hyperlink>
    </w:p>
    <w:p w14:paraId="0B107478" w14:textId="77777777" w:rsidR="000C3E9C" w:rsidRDefault="000C3E9C">
      <w:pPr>
        <w:pStyle w:val="TOC1"/>
        <w:tabs>
          <w:tab w:val="right" w:leader="dot" w:pos="9016"/>
        </w:tabs>
        <w:rPr>
          <w:noProof/>
        </w:rPr>
      </w:pPr>
      <w:hyperlink w:anchor="_Toc800010004" w:history="1">
        <w:r>
          <w:rPr>
            <w:rStyle w:val="Hyperlink"/>
            <w:noProof/>
          </w:rPr>
          <w:t>Counterparty Restrictions</w:t>
        </w:r>
        <w:r>
          <w:rPr>
            <w:noProof/>
            <w:webHidden/>
          </w:rPr>
          <w:tab/>
        </w:r>
        <w:r>
          <w:rPr>
            <w:noProof/>
            <w:webHidden/>
          </w:rPr>
          <w:fldChar w:fldCharType="begin"/>
        </w:r>
        <w:r>
          <w:rPr>
            <w:noProof/>
            <w:webHidden/>
          </w:rPr>
          <w:instrText xml:space="preserve"> PAGEREF _Toc800010004 \h </w:instrText>
        </w:r>
        <w:r>
          <w:rPr>
            <w:noProof/>
            <w:webHidden/>
          </w:rPr>
        </w:r>
        <w:r>
          <w:rPr>
            <w:noProof/>
            <w:webHidden/>
          </w:rPr>
          <w:fldChar w:fldCharType="separate"/>
        </w:r>
        <w:r>
          <w:rPr>
            <w:noProof/>
            <w:webHidden/>
          </w:rPr>
          <w:t>3</w:t>
        </w:r>
        <w:r>
          <w:rPr>
            <w:noProof/>
            <w:webHidden/>
          </w:rPr>
          <w:fldChar w:fldCharType="end"/>
        </w:r>
      </w:hyperlink>
    </w:p>
    <w:p w14:paraId="1150E488" w14:textId="77777777" w:rsidR="000C3E9C" w:rsidRDefault="000C3E9C">
      <w:pPr>
        <w:pStyle w:val="TOC1"/>
        <w:tabs>
          <w:tab w:val="right" w:leader="dot" w:pos="9016"/>
        </w:tabs>
        <w:rPr>
          <w:noProof/>
        </w:rPr>
      </w:pPr>
      <w:hyperlink w:anchor="_Toc800010005" w:history="1">
        <w:r>
          <w:rPr>
            <w:rStyle w:val="Hyperlink"/>
            <w:noProof/>
          </w:rPr>
          <w:t>Assessing liquidity needs</w:t>
        </w:r>
        <w:r>
          <w:rPr>
            <w:noProof/>
            <w:webHidden/>
          </w:rPr>
          <w:tab/>
        </w:r>
        <w:r>
          <w:rPr>
            <w:noProof/>
            <w:webHidden/>
          </w:rPr>
          <w:fldChar w:fldCharType="begin"/>
        </w:r>
        <w:r>
          <w:rPr>
            <w:noProof/>
            <w:webHidden/>
          </w:rPr>
          <w:instrText xml:space="preserve"> PAGEREF _Toc800010005 \h </w:instrText>
        </w:r>
        <w:r>
          <w:rPr>
            <w:noProof/>
            <w:webHidden/>
          </w:rPr>
        </w:r>
        <w:r>
          <w:rPr>
            <w:noProof/>
            <w:webHidden/>
          </w:rPr>
          <w:fldChar w:fldCharType="separate"/>
        </w:r>
        <w:r>
          <w:rPr>
            <w:noProof/>
            <w:webHidden/>
          </w:rPr>
          <w:t>5</w:t>
        </w:r>
        <w:r>
          <w:rPr>
            <w:noProof/>
            <w:webHidden/>
          </w:rPr>
          <w:fldChar w:fldCharType="end"/>
        </w:r>
      </w:hyperlink>
    </w:p>
    <w:p w14:paraId="675BED13" w14:textId="77777777" w:rsidR="000C3E9C" w:rsidRDefault="000C3E9C">
      <w:pPr>
        <w:pStyle w:val="TOC1"/>
        <w:tabs>
          <w:tab w:val="right" w:leader="dot" w:pos="9016"/>
        </w:tabs>
        <w:rPr>
          <w:noProof/>
        </w:rPr>
      </w:pPr>
      <w:hyperlink w:anchor="_Toc800010006" w:history="1">
        <w:r>
          <w:rPr>
            <w:rStyle w:val="Hyperlink"/>
            <w:noProof/>
          </w:rPr>
          <w:t>Investment Products</w:t>
        </w:r>
        <w:r>
          <w:rPr>
            <w:noProof/>
            <w:webHidden/>
          </w:rPr>
          <w:tab/>
        </w:r>
        <w:r>
          <w:rPr>
            <w:noProof/>
            <w:webHidden/>
          </w:rPr>
          <w:fldChar w:fldCharType="begin"/>
        </w:r>
        <w:r>
          <w:rPr>
            <w:noProof/>
            <w:webHidden/>
          </w:rPr>
          <w:instrText xml:space="preserve"> PAGEREF _Toc800010006 \h </w:instrText>
        </w:r>
        <w:r>
          <w:rPr>
            <w:noProof/>
            <w:webHidden/>
          </w:rPr>
        </w:r>
        <w:r>
          <w:rPr>
            <w:noProof/>
            <w:webHidden/>
          </w:rPr>
          <w:fldChar w:fldCharType="separate"/>
        </w:r>
        <w:r>
          <w:rPr>
            <w:noProof/>
            <w:webHidden/>
          </w:rPr>
          <w:t>5</w:t>
        </w:r>
        <w:r>
          <w:rPr>
            <w:noProof/>
            <w:webHidden/>
          </w:rPr>
          <w:fldChar w:fldCharType="end"/>
        </w:r>
      </w:hyperlink>
    </w:p>
    <w:p w14:paraId="4CA2F088" w14:textId="77777777" w:rsidR="000C3E9C" w:rsidRDefault="000C3E9C">
      <w:pPr>
        <w:pStyle w:val="TOC1"/>
        <w:tabs>
          <w:tab w:val="right" w:leader="dot" w:pos="9016"/>
        </w:tabs>
        <w:rPr>
          <w:noProof/>
        </w:rPr>
      </w:pPr>
      <w:hyperlink w:anchor="_Toc800010007" w:history="1">
        <w:r>
          <w:rPr>
            <w:rStyle w:val="Hyperlink"/>
            <w:noProof/>
          </w:rPr>
          <w:t>Investment Decisions</w:t>
        </w:r>
        <w:r>
          <w:rPr>
            <w:noProof/>
            <w:webHidden/>
          </w:rPr>
          <w:tab/>
        </w:r>
        <w:r>
          <w:rPr>
            <w:noProof/>
            <w:webHidden/>
          </w:rPr>
          <w:fldChar w:fldCharType="begin"/>
        </w:r>
        <w:r>
          <w:rPr>
            <w:noProof/>
            <w:webHidden/>
          </w:rPr>
          <w:instrText xml:space="preserve"> PAGEREF _Toc800010007 \h </w:instrText>
        </w:r>
        <w:r>
          <w:rPr>
            <w:noProof/>
            <w:webHidden/>
          </w:rPr>
        </w:r>
        <w:r>
          <w:rPr>
            <w:noProof/>
            <w:webHidden/>
          </w:rPr>
          <w:fldChar w:fldCharType="separate"/>
        </w:r>
        <w:r>
          <w:rPr>
            <w:noProof/>
            <w:webHidden/>
          </w:rPr>
          <w:t>5</w:t>
        </w:r>
        <w:r>
          <w:rPr>
            <w:noProof/>
            <w:webHidden/>
          </w:rPr>
          <w:fldChar w:fldCharType="end"/>
        </w:r>
      </w:hyperlink>
    </w:p>
    <w:p w14:paraId="21F26A33" w14:textId="77777777" w:rsidR="000C3E9C" w:rsidRDefault="000C3E9C">
      <w:pPr>
        <w:pStyle w:val="TOC1"/>
        <w:tabs>
          <w:tab w:val="right" w:leader="dot" w:pos="9016"/>
        </w:tabs>
        <w:rPr>
          <w:noProof/>
        </w:rPr>
      </w:pPr>
      <w:hyperlink w:anchor="_Toc800010008" w:history="1">
        <w:r>
          <w:rPr>
            <w:rStyle w:val="Hyperlink"/>
            <w:noProof/>
          </w:rPr>
          <w:t>Monitoring &amp; Reporting</w:t>
        </w:r>
        <w:r>
          <w:rPr>
            <w:noProof/>
            <w:webHidden/>
          </w:rPr>
          <w:tab/>
        </w:r>
        <w:r>
          <w:rPr>
            <w:noProof/>
            <w:webHidden/>
          </w:rPr>
          <w:fldChar w:fldCharType="begin"/>
        </w:r>
        <w:r>
          <w:rPr>
            <w:noProof/>
            <w:webHidden/>
          </w:rPr>
          <w:instrText xml:space="preserve"> PAGEREF _Toc800010008 \h </w:instrText>
        </w:r>
        <w:r>
          <w:rPr>
            <w:noProof/>
            <w:webHidden/>
          </w:rPr>
        </w:r>
        <w:r>
          <w:rPr>
            <w:noProof/>
            <w:webHidden/>
          </w:rPr>
          <w:fldChar w:fldCharType="separate"/>
        </w:r>
        <w:r>
          <w:rPr>
            <w:noProof/>
            <w:webHidden/>
          </w:rPr>
          <w:t>5</w:t>
        </w:r>
        <w:r>
          <w:rPr>
            <w:noProof/>
            <w:webHidden/>
          </w:rPr>
          <w:fldChar w:fldCharType="end"/>
        </w:r>
      </w:hyperlink>
    </w:p>
    <w:p w14:paraId="6BE0E35E" w14:textId="77777777" w:rsidR="000C3E9C" w:rsidRDefault="000C3E9C">
      <w:pPr>
        <w:pStyle w:val="TOC1"/>
        <w:tabs>
          <w:tab w:val="right" w:leader="dot" w:pos="9016"/>
        </w:tabs>
        <w:rPr>
          <w:noProof/>
        </w:rPr>
      </w:pPr>
      <w:hyperlink w:anchor="_Toc800010009" w:history="1">
        <w:r>
          <w:rPr>
            <w:rStyle w:val="Hyperlink"/>
            <w:noProof/>
          </w:rPr>
          <w:t>Review</w:t>
        </w:r>
        <w:r>
          <w:rPr>
            <w:noProof/>
            <w:webHidden/>
          </w:rPr>
          <w:tab/>
        </w:r>
        <w:r>
          <w:rPr>
            <w:noProof/>
            <w:webHidden/>
          </w:rPr>
          <w:fldChar w:fldCharType="begin"/>
        </w:r>
        <w:r>
          <w:rPr>
            <w:noProof/>
            <w:webHidden/>
          </w:rPr>
          <w:instrText xml:space="preserve"> PAGEREF _Toc800010009 \h </w:instrText>
        </w:r>
        <w:r>
          <w:rPr>
            <w:noProof/>
            <w:webHidden/>
          </w:rPr>
        </w:r>
        <w:r>
          <w:rPr>
            <w:noProof/>
            <w:webHidden/>
          </w:rPr>
          <w:fldChar w:fldCharType="separate"/>
        </w:r>
        <w:r>
          <w:rPr>
            <w:noProof/>
            <w:webHidden/>
          </w:rPr>
          <w:t>5</w:t>
        </w:r>
        <w:r>
          <w:rPr>
            <w:noProof/>
            <w:webHidden/>
          </w:rPr>
          <w:fldChar w:fldCharType="end"/>
        </w:r>
      </w:hyperlink>
    </w:p>
    <w:p w14:paraId="2D7F79DF" w14:textId="77777777" w:rsidR="000C3E9C" w:rsidRDefault="000C3E9C">
      <w:pPr>
        <w:pStyle w:val="TOC1"/>
        <w:tabs>
          <w:tab w:val="right" w:leader="dot" w:pos="9016"/>
        </w:tabs>
        <w:rPr>
          <w:noProof/>
        </w:rPr>
      </w:pPr>
      <w:hyperlink w:anchor="_Toc800010010" w:history="1">
        <w:r>
          <w:rPr>
            <w:rStyle w:val="Hyperlink"/>
            <w:noProof/>
          </w:rPr>
          <w:t>Authorisation of cash transfers</w:t>
        </w:r>
        <w:r>
          <w:rPr>
            <w:noProof/>
            <w:webHidden/>
          </w:rPr>
          <w:tab/>
        </w:r>
        <w:r>
          <w:rPr>
            <w:noProof/>
            <w:webHidden/>
          </w:rPr>
          <w:fldChar w:fldCharType="begin"/>
        </w:r>
        <w:r>
          <w:rPr>
            <w:noProof/>
            <w:webHidden/>
          </w:rPr>
          <w:instrText xml:space="preserve"> PAGEREF _Toc800010010 \h </w:instrText>
        </w:r>
        <w:r>
          <w:rPr>
            <w:noProof/>
            <w:webHidden/>
          </w:rPr>
        </w:r>
        <w:r>
          <w:rPr>
            <w:noProof/>
            <w:webHidden/>
          </w:rPr>
          <w:fldChar w:fldCharType="separate"/>
        </w:r>
        <w:r>
          <w:rPr>
            <w:noProof/>
            <w:webHidden/>
          </w:rPr>
          <w:t>5</w:t>
        </w:r>
        <w:r>
          <w:rPr>
            <w:noProof/>
            <w:webHidden/>
          </w:rPr>
          <w:fldChar w:fldCharType="end"/>
        </w:r>
      </w:hyperlink>
      <w:r w:rsidR="00D571A0">
        <w:fldChar w:fldCharType="end"/>
      </w:r>
    </w:p>
    <w:p w14:paraId="0E732912" w14:textId="77777777" w:rsidR="006F2E9C" w:rsidRPr="008F353E" w:rsidRDefault="006F2E9C" w:rsidP="006F2E9C">
      <w:pPr>
        <w:pStyle w:val="Heading1"/>
        <w:pageBreakBefore/>
        <w:spacing w:after="158"/>
        <w:rPr>
          <w:sz w:val="22"/>
          <w:szCs w:val="22"/>
        </w:rPr>
      </w:pPr>
      <w:bookmarkStart w:id="1" w:name="_Toc800010000"/>
      <w:r w:rsidRPr="008F353E">
        <w:rPr>
          <w:sz w:val="22"/>
          <w:szCs w:val="22"/>
        </w:rPr>
        <w:lastRenderedPageBreak/>
        <w:t>Purpose and scope</w:t>
      </w:r>
      <w:r w:rsidRPr="008F353E">
        <w:rPr>
          <w:b w:val="0"/>
          <w:sz w:val="22"/>
          <w:szCs w:val="22"/>
        </w:rPr>
        <w:t xml:space="preserve"> </w:t>
      </w:r>
      <w:bookmarkEnd w:id="1"/>
    </w:p>
    <w:p w14:paraId="72FB4ED5" w14:textId="77777777" w:rsidR="006F2E9C" w:rsidRPr="008F353E" w:rsidRDefault="006F2E9C" w:rsidP="006F2E9C">
      <w:pPr>
        <w:spacing w:after="173"/>
        <w:rPr>
          <w:rFonts w:cstheme="minorHAnsi"/>
          <w:sz w:val="22"/>
          <w:szCs w:val="22"/>
        </w:rPr>
      </w:pPr>
      <w:r w:rsidRPr="008F353E">
        <w:rPr>
          <w:rFonts w:cstheme="minorHAnsi"/>
          <w:sz w:val="22"/>
          <w:szCs w:val="22"/>
        </w:rPr>
        <w:t xml:space="preserve">To set out the processes by which the Trust can invest funds surplus to day-to-day operational requirements and to ensure that investment risk is properly and prudently managed.  </w:t>
      </w:r>
    </w:p>
    <w:p w14:paraId="2E0C4388" w14:textId="77777777" w:rsidR="006F2E9C" w:rsidRPr="008F353E" w:rsidRDefault="006F2E9C" w:rsidP="006F2E9C">
      <w:pPr>
        <w:spacing w:after="261"/>
        <w:rPr>
          <w:rFonts w:cstheme="minorHAnsi"/>
          <w:sz w:val="22"/>
          <w:szCs w:val="22"/>
        </w:rPr>
      </w:pPr>
      <w:r w:rsidRPr="008F353E">
        <w:rPr>
          <w:rFonts w:cstheme="minorHAnsi"/>
          <w:sz w:val="22"/>
          <w:szCs w:val="22"/>
        </w:rPr>
        <w:t xml:space="preserve">In doing so, Trustees must:   </w:t>
      </w:r>
    </w:p>
    <w:p w14:paraId="27877F84" w14:textId="77777777" w:rsidR="006F2E9C" w:rsidRPr="008F353E" w:rsidRDefault="006F2E9C" w:rsidP="00AE4003">
      <w:pPr>
        <w:numPr>
          <w:ilvl w:val="0"/>
          <w:numId w:val="59"/>
        </w:numPr>
        <w:spacing w:after="44" w:line="249" w:lineRule="auto"/>
        <w:ind w:hanging="360"/>
        <w:rPr>
          <w:rFonts w:cstheme="minorHAnsi"/>
          <w:sz w:val="22"/>
          <w:szCs w:val="22"/>
        </w:rPr>
      </w:pPr>
      <w:r w:rsidRPr="008F353E">
        <w:rPr>
          <w:rFonts w:cstheme="minorHAnsi"/>
          <w:sz w:val="22"/>
          <w:szCs w:val="22"/>
        </w:rPr>
        <w:t xml:space="preserve">Act within their Charity’s power to invest </w:t>
      </w:r>
    </w:p>
    <w:p w14:paraId="1433ACE5" w14:textId="77777777" w:rsidR="006F2E9C" w:rsidRPr="008F353E" w:rsidRDefault="006F2E9C" w:rsidP="00AE4003">
      <w:pPr>
        <w:numPr>
          <w:ilvl w:val="0"/>
          <w:numId w:val="59"/>
        </w:numPr>
        <w:spacing w:after="10" w:line="249" w:lineRule="auto"/>
        <w:ind w:hanging="360"/>
        <w:rPr>
          <w:rFonts w:cstheme="minorHAnsi"/>
          <w:sz w:val="22"/>
          <w:szCs w:val="22"/>
        </w:rPr>
      </w:pPr>
      <w:r w:rsidRPr="008F353E">
        <w:rPr>
          <w:rFonts w:cstheme="minorHAnsi"/>
          <w:sz w:val="22"/>
          <w:szCs w:val="22"/>
        </w:rPr>
        <w:t xml:space="preserve">Set investment objectives </w:t>
      </w:r>
    </w:p>
    <w:p w14:paraId="1D7C7AAD" w14:textId="77777777" w:rsidR="006F2E9C" w:rsidRPr="008F353E" w:rsidRDefault="006F2E9C" w:rsidP="00AE4003">
      <w:pPr>
        <w:numPr>
          <w:ilvl w:val="0"/>
          <w:numId w:val="59"/>
        </w:numPr>
        <w:spacing w:after="40" w:line="249" w:lineRule="auto"/>
        <w:ind w:hanging="360"/>
        <w:rPr>
          <w:rFonts w:cstheme="minorHAnsi"/>
          <w:sz w:val="22"/>
          <w:szCs w:val="22"/>
        </w:rPr>
      </w:pPr>
      <w:r w:rsidRPr="008F353E">
        <w:rPr>
          <w:rFonts w:cstheme="minorHAnsi"/>
          <w:sz w:val="22"/>
          <w:szCs w:val="22"/>
        </w:rPr>
        <w:t xml:space="preserve">Set the parameters that deposit counterparties need to meet </w:t>
      </w:r>
    </w:p>
    <w:p w14:paraId="4B7AFC23" w14:textId="77777777" w:rsidR="006F2E9C" w:rsidRPr="008F353E" w:rsidRDefault="006F2E9C" w:rsidP="00AE4003">
      <w:pPr>
        <w:numPr>
          <w:ilvl w:val="0"/>
          <w:numId w:val="59"/>
        </w:numPr>
        <w:spacing w:after="41" w:line="249" w:lineRule="auto"/>
        <w:ind w:hanging="360"/>
        <w:rPr>
          <w:rFonts w:cstheme="minorHAnsi"/>
          <w:sz w:val="22"/>
          <w:szCs w:val="22"/>
        </w:rPr>
      </w:pPr>
      <w:r w:rsidRPr="008F353E">
        <w:rPr>
          <w:rFonts w:cstheme="minorHAnsi"/>
          <w:sz w:val="22"/>
          <w:szCs w:val="22"/>
        </w:rPr>
        <w:t xml:space="preserve">Consider the level of liquid cash required to be held either overnight or within current accounts </w:t>
      </w:r>
    </w:p>
    <w:p w14:paraId="4827BAE2" w14:textId="77777777" w:rsidR="006F2E9C" w:rsidRPr="008F353E" w:rsidRDefault="006F2E9C" w:rsidP="00AE4003">
      <w:pPr>
        <w:numPr>
          <w:ilvl w:val="0"/>
          <w:numId w:val="59"/>
        </w:numPr>
        <w:spacing w:after="41" w:line="249" w:lineRule="auto"/>
        <w:ind w:hanging="360"/>
        <w:rPr>
          <w:rFonts w:cstheme="minorHAnsi"/>
          <w:sz w:val="22"/>
          <w:szCs w:val="22"/>
        </w:rPr>
      </w:pPr>
      <w:r w:rsidRPr="008F353E">
        <w:rPr>
          <w:rFonts w:cstheme="minorHAnsi"/>
          <w:sz w:val="22"/>
          <w:szCs w:val="22"/>
        </w:rPr>
        <w:t xml:space="preserve">Approve the type of products that the Trust can invest in and seek external guidance if required  </w:t>
      </w:r>
    </w:p>
    <w:p w14:paraId="373946B8" w14:textId="77777777" w:rsidR="006F2E9C" w:rsidRPr="008F353E" w:rsidRDefault="006F2E9C" w:rsidP="00AE4003">
      <w:pPr>
        <w:numPr>
          <w:ilvl w:val="0"/>
          <w:numId w:val="59"/>
        </w:numPr>
        <w:spacing w:after="40" w:line="249" w:lineRule="auto"/>
        <w:ind w:hanging="360"/>
        <w:rPr>
          <w:rFonts w:cstheme="minorHAnsi"/>
          <w:sz w:val="22"/>
          <w:szCs w:val="22"/>
        </w:rPr>
      </w:pPr>
      <w:r w:rsidRPr="008F353E">
        <w:rPr>
          <w:rFonts w:cstheme="minorHAnsi"/>
          <w:sz w:val="22"/>
          <w:szCs w:val="22"/>
        </w:rPr>
        <w:t xml:space="preserve">Define processes to manage and make investment decisions  </w:t>
      </w:r>
    </w:p>
    <w:p w14:paraId="2B5AD9C9" w14:textId="77777777" w:rsidR="006F2E9C" w:rsidRPr="008F353E" w:rsidRDefault="006F2E9C" w:rsidP="00AE4003">
      <w:pPr>
        <w:numPr>
          <w:ilvl w:val="0"/>
          <w:numId w:val="59"/>
        </w:numPr>
        <w:spacing w:after="10" w:line="249" w:lineRule="auto"/>
        <w:ind w:hanging="360"/>
        <w:rPr>
          <w:rFonts w:cstheme="minorHAnsi"/>
          <w:sz w:val="22"/>
          <w:szCs w:val="22"/>
        </w:rPr>
      </w:pPr>
      <w:r w:rsidRPr="008F353E">
        <w:rPr>
          <w:rFonts w:cstheme="minorHAnsi"/>
          <w:sz w:val="22"/>
          <w:szCs w:val="22"/>
        </w:rPr>
        <w:t xml:space="preserve">Monitor and review investments on a regular basis </w:t>
      </w:r>
    </w:p>
    <w:p w14:paraId="5761BECC" w14:textId="77777777" w:rsidR="006F2E9C" w:rsidRPr="008F353E" w:rsidRDefault="006F2E9C" w:rsidP="006F2E9C">
      <w:pPr>
        <w:spacing w:after="19" w:line="259" w:lineRule="auto"/>
        <w:jc w:val="left"/>
        <w:rPr>
          <w:rFonts w:cstheme="minorHAnsi"/>
          <w:sz w:val="22"/>
          <w:szCs w:val="22"/>
        </w:rPr>
      </w:pPr>
      <w:r w:rsidRPr="008F353E">
        <w:rPr>
          <w:rFonts w:cstheme="minorHAnsi"/>
          <w:sz w:val="22"/>
          <w:szCs w:val="22"/>
        </w:rPr>
        <w:t xml:space="preserve"> </w:t>
      </w:r>
    </w:p>
    <w:p w14:paraId="5BE17C96" w14:textId="77777777" w:rsidR="006F2E9C" w:rsidRPr="008F353E" w:rsidRDefault="006F2E9C" w:rsidP="008F353E">
      <w:pPr>
        <w:pStyle w:val="Heading1"/>
        <w:rPr>
          <w:sz w:val="22"/>
          <w:szCs w:val="22"/>
        </w:rPr>
      </w:pPr>
      <w:bookmarkStart w:id="2" w:name="_Toc800010001"/>
      <w:r w:rsidRPr="008F353E">
        <w:rPr>
          <w:sz w:val="22"/>
          <w:szCs w:val="22"/>
        </w:rPr>
        <w:t xml:space="preserve">Responsibility </w:t>
      </w:r>
      <w:bookmarkEnd w:id="2"/>
    </w:p>
    <w:p w14:paraId="74757695" w14:textId="021F7641" w:rsidR="006F2E9C" w:rsidRPr="008F353E" w:rsidRDefault="006F2E9C" w:rsidP="008F353E">
      <w:pPr>
        <w:rPr>
          <w:rFonts w:cstheme="minorHAnsi"/>
          <w:sz w:val="22"/>
          <w:szCs w:val="22"/>
        </w:rPr>
      </w:pPr>
      <w:r w:rsidRPr="008F353E">
        <w:rPr>
          <w:rFonts w:cstheme="minorHAnsi"/>
          <w:sz w:val="22"/>
          <w:szCs w:val="22"/>
        </w:rPr>
        <w:t>The Trustees delegate the day-to-day responsibility of managing and implementing the investment policy to the</w:t>
      </w:r>
      <w:r w:rsidR="00293663">
        <w:rPr>
          <w:rFonts w:cstheme="minorHAnsi"/>
          <w:sz w:val="22"/>
          <w:szCs w:val="22"/>
        </w:rPr>
        <w:t xml:space="preserve"> CEO and</w:t>
      </w:r>
      <w:r w:rsidR="008F353E" w:rsidRPr="008F353E">
        <w:rPr>
          <w:rFonts w:cstheme="minorHAnsi"/>
          <w:sz w:val="22"/>
          <w:szCs w:val="22"/>
        </w:rPr>
        <w:t xml:space="preserve"> </w:t>
      </w:r>
      <w:r w:rsidRPr="008F353E">
        <w:rPr>
          <w:rFonts w:cstheme="minorHAnsi"/>
          <w:sz w:val="22"/>
          <w:szCs w:val="22"/>
        </w:rPr>
        <w:t>CFO</w:t>
      </w:r>
      <w:r w:rsidRPr="008F353E">
        <w:rPr>
          <w:rFonts w:cstheme="minorHAnsi"/>
          <w:b/>
          <w:sz w:val="22"/>
          <w:szCs w:val="22"/>
        </w:rPr>
        <w:t xml:space="preserve"> </w:t>
      </w:r>
      <w:r w:rsidRPr="008F353E">
        <w:rPr>
          <w:rFonts w:cstheme="minorHAnsi"/>
          <w:sz w:val="22"/>
          <w:szCs w:val="22"/>
        </w:rPr>
        <w:t xml:space="preserve">to ensure investments are managed in accordance with this policy and monitor regularly how the Trust’s investments are performing. </w:t>
      </w:r>
    </w:p>
    <w:p w14:paraId="59532824" w14:textId="77777777" w:rsidR="006F2E9C" w:rsidRPr="008F353E" w:rsidRDefault="006F2E9C" w:rsidP="006F2E9C">
      <w:pPr>
        <w:spacing w:after="10" w:line="249" w:lineRule="auto"/>
        <w:ind w:left="715" w:hanging="10"/>
        <w:rPr>
          <w:rFonts w:cstheme="minorHAnsi"/>
          <w:sz w:val="22"/>
          <w:szCs w:val="22"/>
        </w:rPr>
      </w:pPr>
    </w:p>
    <w:p w14:paraId="6637CA36" w14:textId="77777777" w:rsidR="006F2E9C" w:rsidRPr="008F353E" w:rsidRDefault="006F2E9C" w:rsidP="008F353E">
      <w:pPr>
        <w:pStyle w:val="Heading1"/>
        <w:rPr>
          <w:sz w:val="22"/>
          <w:szCs w:val="22"/>
        </w:rPr>
      </w:pPr>
      <w:bookmarkStart w:id="3" w:name="_Toc800010002"/>
      <w:r w:rsidRPr="008F353E">
        <w:rPr>
          <w:sz w:val="22"/>
          <w:szCs w:val="22"/>
        </w:rPr>
        <w:t xml:space="preserve">Objectives </w:t>
      </w:r>
      <w:bookmarkEnd w:id="3"/>
    </w:p>
    <w:p w14:paraId="0555715B" w14:textId="77777777" w:rsidR="006F2E9C" w:rsidRPr="008F353E" w:rsidRDefault="006F2E9C" w:rsidP="008F353E">
      <w:pPr>
        <w:rPr>
          <w:rFonts w:cstheme="minorHAnsi"/>
          <w:sz w:val="22"/>
          <w:szCs w:val="22"/>
        </w:rPr>
      </w:pPr>
      <w:r w:rsidRPr="008F353E">
        <w:rPr>
          <w:rFonts w:cstheme="minorHAnsi"/>
          <w:sz w:val="22"/>
          <w:szCs w:val="22"/>
        </w:rPr>
        <w:t xml:space="preserve">To identify a level of funds that can be placed on deposit to generate additional interest income for the Trust </w:t>
      </w:r>
      <w:proofErr w:type="gramStart"/>
      <w:r w:rsidRPr="008F353E">
        <w:rPr>
          <w:rFonts w:cstheme="minorHAnsi"/>
          <w:sz w:val="22"/>
          <w:szCs w:val="22"/>
        </w:rPr>
        <w:t>in order to</w:t>
      </w:r>
      <w:proofErr w:type="gramEnd"/>
      <w:r w:rsidRPr="008F353E">
        <w:rPr>
          <w:rFonts w:cstheme="minorHAnsi"/>
          <w:sz w:val="22"/>
          <w:szCs w:val="22"/>
        </w:rPr>
        <w:t xml:space="preserve"> support its on-going charitable objectives.  </w:t>
      </w:r>
    </w:p>
    <w:p w14:paraId="39EA6D93" w14:textId="77777777" w:rsidR="006F2E9C" w:rsidRPr="008F353E" w:rsidRDefault="006F2E9C" w:rsidP="008F353E">
      <w:pPr>
        <w:rPr>
          <w:rFonts w:cstheme="minorHAnsi"/>
          <w:sz w:val="22"/>
          <w:szCs w:val="22"/>
        </w:rPr>
      </w:pPr>
      <w:r w:rsidRPr="008F353E">
        <w:rPr>
          <w:rFonts w:cstheme="minorHAnsi"/>
          <w:sz w:val="22"/>
          <w:szCs w:val="22"/>
        </w:rPr>
        <w:t xml:space="preserve">Any investment decisions must be supported by a cashflow forecast that reduces the risk of the Trust not having the liquidity required to carry out its day-to-day activities. </w:t>
      </w:r>
    </w:p>
    <w:p w14:paraId="717A7F1C" w14:textId="77777777" w:rsidR="006F2E9C" w:rsidRPr="008F353E" w:rsidRDefault="006F2E9C" w:rsidP="006F2E9C">
      <w:pPr>
        <w:spacing w:after="19" w:line="259" w:lineRule="auto"/>
        <w:ind w:left="720"/>
        <w:jc w:val="left"/>
        <w:rPr>
          <w:rFonts w:cstheme="minorHAnsi"/>
          <w:sz w:val="22"/>
          <w:szCs w:val="22"/>
        </w:rPr>
      </w:pPr>
    </w:p>
    <w:p w14:paraId="036B45CB" w14:textId="77777777" w:rsidR="006F2E9C" w:rsidRPr="008F353E" w:rsidRDefault="006F2E9C" w:rsidP="008F353E">
      <w:pPr>
        <w:pStyle w:val="Heading1"/>
        <w:rPr>
          <w:sz w:val="22"/>
          <w:szCs w:val="22"/>
        </w:rPr>
      </w:pPr>
      <w:bookmarkStart w:id="4" w:name="_Toc800010003"/>
      <w:r w:rsidRPr="008F353E">
        <w:rPr>
          <w:sz w:val="22"/>
          <w:szCs w:val="22"/>
        </w:rPr>
        <w:t xml:space="preserve">Counterparty risk </w:t>
      </w:r>
      <w:bookmarkEnd w:id="4"/>
    </w:p>
    <w:p w14:paraId="45613086" w14:textId="77777777" w:rsidR="006F2E9C" w:rsidRPr="008F353E" w:rsidRDefault="006F2E9C" w:rsidP="008F353E">
      <w:pPr>
        <w:rPr>
          <w:rFonts w:cstheme="minorHAnsi"/>
          <w:sz w:val="22"/>
          <w:szCs w:val="22"/>
        </w:rPr>
      </w:pPr>
      <w:r w:rsidRPr="008F353E">
        <w:rPr>
          <w:rFonts w:cstheme="minorHAnsi"/>
          <w:sz w:val="22"/>
          <w:szCs w:val="22"/>
        </w:rPr>
        <w:t xml:space="preserve">Following the Banking Crisis in 2007/2008, The Bank of England have (through the FSA and latterly, the FCA and PRA) implemented changes to stress testing and capital requirements of UK FCA registered banks to ensure the stability of the UK Banking system. </w:t>
      </w:r>
    </w:p>
    <w:p w14:paraId="3C8F4BDD" w14:textId="77777777" w:rsidR="006F2E9C" w:rsidRPr="008F353E" w:rsidRDefault="006F2E9C" w:rsidP="008F353E">
      <w:pPr>
        <w:rPr>
          <w:rFonts w:cstheme="minorHAnsi"/>
          <w:sz w:val="22"/>
          <w:szCs w:val="22"/>
        </w:rPr>
      </w:pPr>
      <w:r w:rsidRPr="008F353E">
        <w:rPr>
          <w:rFonts w:cstheme="minorHAnsi"/>
          <w:sz w:val="22"/>
          <w:szCs w:val="22"/>
        </w:rPr>
        <w:t>As such, the Trust can only make cash deposits with institutions with a UK banking licence and regulated by the FCA and PRA.</w:t>
      </w:r>
    </w:p>
    <w:p w14:paraId="605E2630" w14:textId="77777777" w:rsidR="006F2E9C" w:rsidRPr="008F353E" w:rsidRDefault="006F2E9C" w:rsidP="008F353E">
      <w:pPr>
        <w:rPr>
          <w:rFonts w:cstheme="minorHAnsi"/>
          <w:sz w:val="22"/>
          <w:szCs w:val="22"/>
        </w:rPr>
      </w:pPr>
    </w:p>
    <w:p w14:paraId="16EBF587" w14:textId="77777777" w:rsidR="006F2E9C" w:rsidRPr="008F353E" w:rsidRDefault="006F2E9C" w:rsidP="008F353E">
      <w:pPr>
        <w:pStyle w:val="Heading1"/>
        <w:spacing w:after="0"/>
        <w:rPr>
          <w:sz w:val="22"/>
          <w:szCs w:val="22"/>
        </w:rPr>
      </w:pPr>
      <w:bookmarkStart w:id="5" w:name="_Toc800010004"/>
      <w:r w:rsidRPr="008F353E">
        <w:rPr>
          <w:sz w:val="22"/>
          <w:szCs w:val="22"/>
        </w:rPr>
        <w:t xml:space="preserve">Counterparty Restrictions </w:t>
      </w:r>
      <w:bookmarkEnd w:id="5"/>
    </w:p>
    <w:p w14:paraId="7536F9B5" w14:textId="77777777" w:rsidR="006F2E9C" w:rsidRPr="008F353E" w:rsidRDefault="006F2E9C" w:rsidP="006F2E9C">
      <w:pPr>
        <w:ind w:left="715"/>
        <w:rPr>
          <w:rFonts w:cstheme="minorHAnsi"/>
          <w:sz w:val="22"/>
          <w:szCs w:val="22"/>
        </w:rPr>
      </w:pPr>
    </w:p>
    <w:p w14:paraId="59168166" w14:textId="77777777" w:rsidR="006F2E9C" w:rsidRPr="008F353E" w:rsidRDefault="006F2E9C" w:rsidP="008F353E">
      <w:pPr>
        <w:rPr>
          <w:rFonts w:cstheme="minorHAnsi"/>
          <w:sz w:val="22"/>
          <w:szCs w:val="22"/>
        </w:rPr>
      </w:pPr>
      <w:r w:rsidRPr="008F353E">
        <w:rPr>
          <w:rFonts w:cstheme="minorHAnsi"/>
          <w:sz w:val="22"/>
          <w:szCs w:val="22"/>
        </w:rPr>
        <w:t xml:space="preserve">For Institutions with a “good” or better credit rating or implied credit rating (also known as Investment grade), the Trust can deposit a maximum of £3,000,000 (plus interest accrued) in any one institution. </w:t>
      </w:r>
    </w:p>
    <w:p w14:paraId="4F6F0E94" w14:textId="77777777" w:rsidR="006F2E9C" w:rsidRPr="008F353E" w:rsidRDefault="006F2E9C" w:rsidP="008F353E">
      <w:pPr>
        <w:rPr>
          <w:rFonts w:cstheme="minorHAnsi"/>
          <w:sz w:val="22"/>
          <w:szCs w:val="22"/>
        </w:rPr>
      </w:pPr>
      <w:r w:rsidRPr="008F353E">
        <w:rPr>
          <w:rFonts w:cstheme="minorHAnsi"/>
          <w:sz w:val="22"/>
          <w:szCs w:val="22"/>
        </w:rPr>
        <w:t>These ratings include:</w:t>
      </w:r>
    </w:p>
    <w:p w14:paraId="728F2C83" w14:textId="77777777" w:rsidR="006F2E9C" w:rsidRPr="008F353E" w:rsidRDefault="006F2E9C" w:rsidP="008F353E">
      <w:pPr>
        <w:rPr>
          <w:rFonts w:cstheme="minorHAnsi"/>
          <w:sz w:val="22"/>
          <w:szCs w:val="22"/>
        </w:rPr>
      </w:pPr>
      <w:r w:rsidRPr="008F353E">
        <w:rPr>
          <w:rFonts w:cstheme="minorHAnsi"/>
          <w:sz w:val="22"/>
          <w:szCs w:val="22"/>
        </w:rPr>
        <w:t>Baa3 / P-3 or better (Moody’s) or</w:t>
      </w:r>
    </w:p>
    <w:p w14:paraId="79AB9B3E" w14:textId="77777777" w:rsidR="006F2E9C" w:rsidRPr="008F353E" w:rsidRDefault="006F2E9C" w:rsidP="008F353E">
      <w:pPr>
        <w:rPr>
          <w:rFonts w:cstheme="minorHAnsi"/>
          <w:sz w:val="22"/>
          <w:szCs w:val="22"/>
        </w:rPr>
      </w:pPr>
      <w:r w:rsidRPr="008F353E">
        <w:rPr>
          <w:rFonts w:cstheme="minorHAnsi"/>
          <w:sz w:val="22"/>
          <w:szCs w:val="22"/>
        </w:rPr>
        <w:t>BBB- / A-3 or better (S&amp;P) or</w:t>
      </w:r>
    </w:p>
    <w:p w14:paraId="476F8AE4" w14:textId="77777777" w:rsidR="006F2E9C" w:rsidRPr="008F353E" w:rsidRDefault="006F2E9C" w:rsidP="008F353E">
      <w:pPr>
        <w:rPr>
          <w:rFonts w:cstheme="minorHAnsi"/>
          <w:sz w:val="22"/>
          <w:szCs w:val="22"/>
        </w:rPr>
      </w:pPr>
      <w:r w:rsidRPr="008F353E">
        <w:rPr>
          <w:rFonts w:cstheme="minorHAnsi"/>
          <w:sz w:val="22"/>
          <w:szCs w:val="22"/>
        </w:rPr>
        <w:t>BBB- / F3 or better (Fitch) or</w:t>
      </w:r>
    </w:p>
    <w:p w14:paraId="1D301FED" w14:textId="77777777" w:rsidR="006F2E9C" w:rsidRPr="008F353E" w:rsidRDefault="006F2E9C" w:rsidP="008F353E">
      <w:pPr>
        <w:rPr>
          <w:rFonts w:cstheme="minorHAnsi"/>
          <w:sz w:val="22"/>
          <w:szCs w:val="22"/>
        </w:rPr>
      </w:pPr>
      <w:r w:rsidRPr="008F353E">
        <w:rPr>
          <w:rFonts w:cstheme="minorHAnsi"/>
          <w:sz w:val="22"/>
          <w:szCs w:val="22"/>
        </w:rPr>
        <w:t>An implied rating of BBB- or better</w:t>
      </w:r>
    </w:p>
    <w:p w14:paraId="5A458B6E" w14:textId="77777777" w:rsidR="006F2E9C" w:rsidRPr="008F353E" w:rsidRDefault="006F2E9C" w:rsidP="008F353E">
      <w:pPr>
        <w:rPr>
          <w:rFonts w:cstheme="minorHAnsi"/>
          <w:sz w:val="22"/>
          <w:szCs w:val="22"/>
        </w:rPr>
      </w:pPr>
    </w:p>
    <w:p w14:paraId="3902EDFA" w14:textId="77777777" w:rsidR="006F2E9C" w:rsidRPr="008F353E" w:rsidRDefault="006F2E9C" w:rsidP="008F353E">
      <w:pPr>
        <w:rPr>
          <w:rFonts w:cstheme="minorHAnsi"/>
          <w:sz w:val="22"/>
          <w:szCs w:val="22"/>
        </w:rPr>
      </w:pPr>
      <w:r w:rsidRPr="008F353E">
        <w:rPr>
          <w:rFonts w:cstheme="minorHAnsi"/>
          <w:sz w:val="22"/>
          <w:szCs w:val="22"/>
        </w:rPr>
        <w:t>The Credit rating or Implied Credit Rating will be checked at the time of placing a deposit with a new bank.</w:t>
      </w:r>
    </w:p>
    <w:p w14:paraId="407062B1" w14:textId="77777777" w:rsidR="006F2E9C" w:rsidRPr="008F353E" w:rsidRDefault="006F2E9C" w:rsidP="008F353E">
      <w:pPr>
        <w:ind w:hanging="10"/>
        <w:rPr>
          <w:rFonts w:cstheme="minorHAnsi"/>
          <w:sz w:val="22"/>
          <w:szCs w:val="22"/>
        </w:rPr>
      </w:pPr>
      <w:r w:rsidRPr="008F353E">
        <w:rPr>
          <w:rFonts w:cstheme="minorHAnsi"/>
          <w:sz w:val="22"/>
          <w:szCs w:val="22"/>
        </w:rPr>
        <w:t>It is worth noting that Implied Credit Ratings are usually the ‘long term’ position, however, the Trust will only by depositing ‘short term’ in deposits with a maturity date or notice period of 12-months or less.</w:t>
      </w:r>
    </w:p>
    <w:p w14:paraId="3286F618" w14:textId="77777777" w:rsidR="006F2E9C" w:rsidRPr="008F353E" w:rsidRDefault="006F2E9C" w:rsidP="008F353E">
      <w:pPr>
        <w:rPr>
          <w:rFonts w:cstheme="minorHAnsi"/>
          <w:sz w:val="22"/>
          <w:szCs w:val="22"/>
        </w:rPr>
      </w:pPr>
    </w:p>
    <w:p w14:paraId="7E9BCFBB" w14:textId="77777777" w:rsidR="006F2E9C" w:rsidRPr="008F353E" w:rsidRDefault="006F2E9C" w:rsidP="008F353E">
      <w:pPr>
        <w:ind w:hanging="10"/>
        <w:rPr>
          <w:rFonts w:cstheme="minorHAnsi"/>
          <w:sz w:val="22"/>
          <w:szCs w:val="22"/>
        </w:rPr>
      </w:pPr>
      <w:r w:rsidRPr="008F353E">
        <w:rPr>
          <w:rFonts w:cstheme="minorHAnsi"/>
          <w:noProof/>
          <w:sz w:val="22"/>
          <w:szCs w:val="22"/>
        </w:rPr>
        <w:lastRenderedPageBreak/>
        <w:drawing>
          <wp:anchor distT="0" distB="0" distL="114300" distR="114300" simplePos="0" relativeHeight="251658273" behindDoc="0" locked="0" layoutInCell="1" allowOverlap="1" wp14:anchorId="4F55DB91" wp14:editId="0AC5D117">
            <wp:simplePos x="0" y="0"/>
            <wp:positionH relativeFrom="margin">
              <wp:align>center</wp:align>
            </wp:positionH>
            <wp:positionV relativeFrom="paragraph">
              <wp:posOffset>673735</wp:posOffset>
            </wp:positionV>
            <wp:extent cx="6120000" cy="6746400"/>
            <wp:effectExtent l="38100" t="38100" r="33655" b="35560"/>
            <wp:wrapTopAndBottom/>
            <wp:docPr id="1376155291" name="Picture 137615529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20000" cy="6746400"/>
                    </a:xfrm>
                    <a:prstGeom prst="rect">
                      <a:avLst/>
                    </a:prstGeom>
                    <a:ln w="22225">
                      <a:solidFill>
                        <a:schemeClr val="accent1"/>
                      </a:solidFill>
                    </a:ln>
                  </pic:spPr>
                </pic:pic>
              </a:graphicData>
            </a:graphic>
            <wp14:sizeRelH relativeFrom="margin">
              <wp14:pctWidth>0</wp14:pctWidth>
            </wp14:sizeRelH>
            <wp14:sizeRelV relativeFrom="margin">
              <wp14:pctHeight>0</wp14:pctHeight>
            </wp14:sizeRelV>
          </wp:anchor>
        </w:drawing>
      </w:r>
      <w:r w:rsidRPr="008F353E">
        <w:rPr>
          <w:rFonts w:cstheme="minorHAnsi"/>
          <w:sz w:val="22"/>
          <w:szCs w:val="22"/>
        </w:rPr>
        <w:t xml:space="preserve">It is recognised that the Trust’s current account balance(s) may exceed the deposit limits stated above. </w:t>
      </w:r>
      <w:proofErr w:type="gramStart"/>
      <w:r w:rsidRPr="008F353E">
        <w:rPr>
          <w:rFonts w:cstheme="minorHAnsi"/>
          <w:sz w:val="22"/>
          <w:szCs w:val="22"/>
        </w:rPr>
        <w:t>For the purpose of</w:t>
      </w:r>
      <w:proofErr w:type="gramEnd"/>
      <w:r w:rsidRPr="008F353E">
        <w:rPr>
          <w:rFonts w:cstheme="minorHAnsi"/>
          <w:sz w:val="22"/>
          <w:szCs w:val="22"/>
        </w:rPr>
        <w:t xml:space="preserve"> this investment policy, current account balances are excluded from the counterparty limits detailed above.</w:t>
      </w:r>
    </w:p>
    <w:p w14:paraId="3A7D310B" w14:textId="77777777" w:rsidR="006F2E9C" w:rsidRPr="008F353E" w:rsidRDefault="006F2E9C" w:rsidP="006F2E9C">
      <w:pPr>
        <w:ind w:left="715"/>
        <w:rPr>
          <w:rFonts w:cstheme="minorHAnsi"/>
          <w:sz w:val="22"/>
          <w:szCs w:val="22"/>
        </w:rPr>
      </w:pPr>
      <w:r w:rsidRPr="008F353E">
        <w:rPr>
          <w:rFonts w:cstheme="minorHAnsi"/>
          <w:noProof/>
          <w:sz w:val="22"/>
          <w:szCs w:val="22"/>
        </w:rPr>
        <w:drawing>
          <wp:anchor distT="0" distB="0" distL="114300" distR="114300" simplePos="0" relativeHeight="251658272" behindDoc="0" locked="0" layoutInCell="1" allowOverlap="1" wp14:anchorId="297B7F3E" wp14:editId="01CD25E0">
            <wp:simplePos x="0" y="0"/>
            <wp:positionH relativeFrom="column">
              <wp:posOffset>-54903</wp:posOffset>
            </wp:positionH>
            <wp:positionV relativeFrom="paragraph">
              <wp:posOffset>397</wp:posOffset>
            </wp:positionV>
            <wp:extent cx="6120000" cy="6746400"/>
            <wp:effectExtent l="0" t="0" r="1905" b="0"/>
            <wp:wrapTopAndBottom/>
            <wp:docPr id="1908021728" name="Picture 19080217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20000" cy="6746400"/>
                    </a:xfrm>
                    <a:prstGeom prst="rect">
                      <a:avLst/>
                    </a:prstGeom>
                  </pic:spPr>
                </pic:pic>
              </a:graphicData>
            </a:graphic>
            <wp14:sizeRelH relativeFrom="margin">
              <wp14:pctWidth>0</wp14:pctWidth>
            </wp14:sizeRelH>
            <wp14:sizeRelV relativeFrom="margin">
              <wp14:pctHeight>0</wp14:pctHeight>
            </wp14:sizeRelV>
          </wp:anchor>
        </w:drawing>
      </w:r>
      <w:r w:rsidRPr="008F353E">
        <w:rPr>
          <w:rFonts w:cstheme="minorHAnsi"/>
          <w:sz w:val="22"/>
          <w:szCs w:val="22"/>
        </w:rPr>
        <w:br w:type="page"/>
      </w:r>
    </w:p>
    <w:p w14:paraId="6FCF536D" w14:textId="77777777" w:rsidR="006F2E9C" w:rsidRPr="008F353E" w:rsidRDefault="006F2E9C" w:rsidP="008F353E">
      <w:pPr>
        <w:pStyle w:val="Heading1"/>
        <w:rPr>
          <w:sz w:val="22"/>
          <w:szCs w:val="22"/>
        </w:rPr>
      </w:pPr>
      <w:bookmarkStart w:id="6" w:name="_Toc800010005"/>
      <w:r w:rsidRPr="008F353E">
        <w:rPr>
          <w:sz w:val="22"/>
          <w:szCs w:val="22"/>
        </w:rPr>
        <w:lastRenderedPageBreak/>
        <w:t xml:space="preserve">Assessing liquidity needs </w:t>
      </w:r>
      <w:bookmarkEnd w:id="6"/>
    </w:p>
    <w:p w14:paraId="7FC07408" w14:textId="77777777" w:rsidR="006F2E9C" w:rsidRPr="008F353E" w:rsidRDefault="006F2E9C" w:rsidP="008F353E">
      <w:pPr>
        <w:rPr>
          <w:rFonts w:cstheme="minorHAnsi"/>
          <w:sz w:val="22"/>
          <w:szCs w:val="22"/>
        </w:rPr>
      </w:pPr>
      <w:r w:rsidRPr="008F353E">
        <w:rPr>
          <w:rFonts w:cstheme="minorHAnsi"/>
          <w:sz w:val="22"/>
          <w:szCs w:val="22"/>
        </w:rPr>
        <w:t xml:space="preserve">The Trust should ensure that a sufficient balance must be held across accounts with instant access so that the Trust’s financial commitments can be met without the risk of the current account going overdrawn. </w:t>
      </w:r>
    </w:p>
    <w:p w14:paraId="1530456E" w14:textId="77777777" w:rsidR="006F2E9C" w:rsidRPr="008F353E" w:rsidRDefault="006F2E9C" w:rsidP="008F353E">
      <w:pPr>
        <w:rPr>
          <w:rFonts w:cstheme="minorHAnsi"/>
          <w:sz w:val="22"/>
          <w:szCs w:val="22"/>
        </w:rPr>
      </w:pPr>
      <w:r w:rsidRPr="008F353E">
        <w:rPr>
          <w:rFonts w:cstheme="minorHAnsi"/>
          <w:sz w:val="22"/>
          <w:szCs w:val="22"/>
        </w:rPr>
        <w:t xml:space="preserve">It should also allow enough flexibility to deal with reasonable, one-off events should they occur.   </w:t>
      </w:r>
    </w:p>
    <w:p w14:paraId="77E43D70" w14:textId="77777777" w:rsidR="006F2E9C" w:rsidRPr="008F353E" w:rsidRDefault="006F2E9C" w:rsidP="008F353E">
      <w:pPr>
        <w:rPr>
          <w:rFonts w:cstheme="minorHAnsi"/>
          <w:sz w:val="22"/>
          <w:szCs w:val="22"/>
        </w:rPr>
      </w:pPr>
      <w:r w:rsidRPr="008F353E">
        <w:rPr>
          <w:rFonts w:cstheme="minorHAnsi"/>
          <w:sz w:val="22"/>
          <w:szCs w:val="22"/>
        </w:rPr>
        <w:t xml:space="preserve">The Trust’s cash flow forecasts will dictate how much is available for investment and for how long. </w:t>
      </w:r>
    </w:p>
    <w:p w14:paraId="0A15DF89" w14:textId="77777777" w:rsidR="006F2E9C" w:rsidRPr="008F353E" w:rsidRDefault="006F2E9C" w:rsidP="008F353E">
      <w:pPr>
        <w:rPr>
          <w:rFonts w:cstheme="minorHAnsi"/>
          <w:sz w:val="22"/>
          <w:szCs w:val="22"/>
        </w:rPr>
      </w:pPr>
      <w:r w:rsidRPr="008F353E">
        <w:rPr>
          <w:rFonts w:cstheme="minorHAnsi"/>
          <w:sz w:val="22"/>
          <w:szCs w:val="22"/>
        </w:rPr>
        <w:t xml:space="preserve">The cashflow forecasts should be reviewed monthly as part of the management accounts cycle and on maturity of fixed term deposits. </w:t>
      </w:r>
    </w:p>
    <w:p w14:paraId="042D4957" w14:textId="77777777" w:rsidR="006F2E9C" w:rsidRPr="008F353E" w:rsidRDefault="006F2E9C" w:rsidP="006F2E9C">
      <w:pPr>
        <w:spacing w:line="259" w:lineRule="auto"/>
        <w:ind w:left="720"/>
        <w:jc w:val="left"/>
        <w:rPr>
          <w:rFonts w:cstheme="minorHAnsi"/>
          <w:sz w:val="22"/>
          <w:szCs w:val="22"/>
        </w:rPr>
      </w:pPr>
      <w:r w:rsidRPr="008F353E">
        <w:rPr>
          <w:rFonts w:cstheme="minorHAnsi"/>
          <w:sz w:val="22"/>
          <w:szCs w:val="22"/>
        </w:rPr>
        <w:t xml:space="preserve"> </w:t>
      </w:r>
    </w:p>
    <w:p w14:paraId="5863356B" w14:textId="77777777" w:rsidR="006F2E9C" w:rsidRPr="008F353E" w:rsidRDefault="006F2E9C" w:rsidP="008F353E">
      <w:pPr>
        <w:pStyle w:val="Heading1"/>
        <w:spacing w:after="0"/>
        <w:rPr>
          <w:sz w:val="22"/>
          <w:szCs w:val="22"/>
        </w:rPr>
      </w:pPr>
      <w:bookmarkStart w:id="7" w:name="_Toc800010006"/>
      <w:r w:rsidRPr="008F353E">
        <w:rPr>
          <w:sz w:val="22"/>
          <w:szCs w:val="22"/>
        </w:rPr>
        <w:t xml:space="preserve">Investment Products </w:t>
      </w:r>
      <w:bookmarkEnd w:id="7"/>
    </w:p>
    <w:p w14:paraId="71052727" w14:textId="77777777" w:rsidR="006F2E9C" w:rsidRPr="008F353E" w:rsidRDefault="006F2E9C" w:rsidP="006F2E9C">
      <w:pPr>
        <w:rPr>
          <w:rFonts w:cstheme="minorHAnsi"/>
        </w:rPr>
      </w:pPr>
    </w:p>
    <w:p w14:paraId="6DBC08D6" w14:textId="77777777" w:rsidR="006F2E9C" w:rsidRPr="008F353E" w:rsidRDefault="006F2E9C" w:rsidP="008F353E">
      <w:pPr>
        <w:rPr>
          <w:rFonts w:cstheme="minorHAnsi"/>
          <w:sz w:val="22"/>
          <w:szCs w:val="22"/>
        </w:rPr>
      </w:pPr>
      <w:r w:rsidRPr="008F353E">
        <w:rPr>
          <w:rFonts w:cstheme="minorHAnsi"/>
          <w:sz w:val="22"/>
          <w:szCs w:val="22"/>
        </w:rPr>
        <w:t xml:space="preserve">The Trust can invest surplus funds in a mixture of interest-bearing accounts and money market facilities (where the capital is not placed at risk) including: </w:t>
      </w:r>
    </w:p>
    <w:p w14:paraId="61ABFBBE" w14:textId="77777777" w:rsidR="006F2E9C" w:rsidRPr="008F353E" w:rsidRDefault="006F2E9C" w:rsidP="008F353E">
      <w:pPr>
        <w:rPr>
          <w:rFonts w:cstheme="minorHAnsi"/>
          <w:sz w:val="22"/>
          <w:szCs w:val="22"/>
        </w:rPr>
      </w:pPr>
      <w:r w:rsidRPr="008F353E">
        <w:rPr>
          <w:rFonts w:cstheme="minorHAnsi"/>
          <w:sz w:val="22"/>
          <w:szCs w:val="22"/>
        </w:rPr>
        <w:t xml:space="preserve">Overnight (instant access) </w:t>
      </w:r>
    </w:p>
    <w:p w14:paraId="1DE5878F" w14:textId="77777777" w:rsidR="006F2E9C" w:rsidRPr="008F353E" w:rsidRDefault="006F2E9C" w:rsidP="008F353E">
      <w:pPr>
        <w:rPr>
          <w:rFonts w:cstheme="minorHAnsi"/>
          <w:sz w:val="22"/>
          <w:szCs w:val="22"/>
        </w:rPr>
      </w:pPr>
      <w:r w:rsidRPr="008F353E">
        <w:rPr>
          <w:rFonts w:cstheme="minorHAnsi"/>
          <w:sz w:val="22"/>
          <w:szCs w:val="22"/>
        </w:rPr>
        <w:t xml:space="preserve">Notice accounts (typically from 30-days to 100+ days) </w:t>
      </w:r>
    </w:p>
    <w:p w14:paraId="098E4322" w14:textId="77777777" w:rsidR="006F2E9C" w:rsidRPr="008F353E" w:rsidRDefault="006F2E9C" w:rsidP="008F353E">
      <w:pPr>
        <w:ind w:right="810"/>
        <w:rPr>
          <w:rFonts w:cstheme="minorHAnsi"/>
          <w:sz w:val="22"/>
          <w:szCs w:val="22"/>
        </w:rPr>
      </w:pPr>
      <w:r w:rsidRPr="008F353E">
        <w:rPr>
          <w:rFonts w:cstheme="minorHAnsi"/>
          <w:sz w:val="22"/>
          <w:szCs w:val="22"/>
        </w:rPr>
        <w:t>Fixed term deposits (typically from 1-month to 12-months)</w:t>
      </w:r>
    </w:p>
    <w:p w14:paraId="31B21C16" w14:textId="77777777" w:rsidR="006F2E9C" w:rsidRPr="008F353E" w:rsidRDefault="006F2E9C" w:rsidP="008F353E">
      <w:pPr>
        <w:ind w:right="810"/>
        <w:rPr>
          <w:rFonts w:cstheme="minorHAnsi"/>
          <w:sz w:val="22"/>
          <w:szCs w:val="22"/>
        </w:rPr>
      </w:pPr>
      <w:r w:rsidRPr="008F353E">
        <w:rPr>
          <w:rFonts w:cstheme="minorHAnsi"/>
          <w:sz w:val="22"/>
          <w:szCs w:val="22"/>
        </w:rPr>
        <w:t xml:space="preserve">Investment maturity dates should not exceed 12-months in term. </w:t>
      </w:r>
    </w:p>
    <w:p w14:paraId="18EC3C54" w14:textId="77777777" w:rsidR="006F2E9C" w:rsidRPr="008F353E" w:rsidRDefault="006F2E9C" w:rsidP="006F2E9C">
      <w:pPr>
        <w:spacing w:line="259" w:lineRule="auto"/>
        <w:ind w:left="720"/>
        <w:jc w:val="left"/>
        <w:rPr>
          <w:rFonts w:cstheme="minorHAnsi"/>
          <w:sz w:val="22"/>
          <w:szCs w:val="22"/>
        </w:rPr>
      </w:pPr>
    </w:p>
    <w:p w14:paraId="39D32F2B" w14:textId="77777777" w:rsidR="006F2E9C" w:rsidRDefault="006F2E9C" w:rsidP="008F353E">
      <w:pPr>
        <w:pStyle w:val="Heading1"/>
        <w:spacing w:after="24"/>
        <w:rPr>
          <w:sz w:val="22"/>
          <w:szCs w:val="22"/>
        </w:rPr>
      </w:pPr>
      <w:bookmarkStart w:id="8" w:name="_Toc800010007"/>
      <w:r w:rsidRPr="008F353E">
        <w:rPr>
          <w:sz w:val="22"/>
          <w:szCs w:val="22"/>
        </w:rPr>
        <w:t xml:space="preserve">Investment Decisions  </w:t>
      </w:r>
      <w:bookmarkEnd w:id="8"/>
    </w:p>
    <w:p w14:paraId="75C5577D" w14:textId="77777777" w:rsidR="008F353E" w:rsidRPr="008F353E" w:rsidRDefault="008F353E" w:rsidP="008F353E"/>
    <w:p w14:paraId="2EBA5291" w14:textId="77777777" w:rsidR="006F2E9C" w:rsidRPr="008F353E" w:rsidRDefault="006F2E9C" w:rsidP="008F353E">
      <w:pPr>
        <w:rPr>
          <w:rFonts w:cstheme="minorHAnsi"/>
          <w:sz w:val="22"/>
          <w:szCs w:val="22"/>
        </w:rPr>
      </w:pPr>
      <w:r w:rsidRPr="008F353E">
        <w:rPr>
          <w:rFonts w:cstheme="minorHAnsi"/>
          <w:sz w:val="22"/>
          <w:szCs w:val="22"/>
        </w:rPr>
        <w:t xml:space="preserve">The CFO is responsible for producing reliable cash flow forecasts as a basis for decision making. </w:t>
      </w:r>
    </w:p>
    <w:p w14:paraId="3CFE5DC4" w14:textId="77777777" w:rsidR="006F2E9C" w:rsidRPr="008F353E" w:rsidRDefault="006F2E9C" w:rsidP="008F353E">
      <w:pPr>
        <w:rPr>
          <w:rFonts w:cstheme="minorHAnsi"/>
          <w:sz w:val="22"/>
          <w:szCs w:val="22"/>
        </w:rPr>
      </w:pPr>
      <w:r w:rsidRPr="008F353E">
        <w:rPr>
          <w:rFonts w:cstheme="minorHAnsi"/>
          <w:sz w:val="22"/>
          <w:szCs w:val="22"/>
        </w:rPr>
        <w:t xml:space="preserve">The </w:t>
      </w:r>
      <w:r w:rsidR="008F353E">
        <w:rPr>
          <w:rFonts w:cstheme="minorHAnsi"/>
          <w:sz w:val="22"/>
          <w:szCs w:val="22"/>
        </w:rPr>
        <w:t xml:space="preserve">CEO &amp; </w:t>
      </w:r>
      <w:r w:rsidRPr="008F353E">
        <w:rPr>
          <w:rFonts w:cstheme="minorHAnsi"/>
          <w:sz w:val="22"/>
          <w:szCs w:val="22"/>
        </w:rPr>
        <w:t xml:space="preserve">CFO </w:t>
      </w:r>
      <w:r w:rsidR="008F353E">
        <w:rPr>
          <w:rFonts w:cstheme="minorHAnsi"/>
          <w:sz w:val="22"/>
          <w:szCs w:val="22"/>
        </w:rPr>
        <w:t>are</w:t>
      </w:r>
      <w:r w:rsidRPr="008F353E">
        <w:rPr>
          <w:rFonts w:cstheme="minorHAnsi"/>
          <w:sz w:val="22"/>
          <w:szCs w:val="22"/>
        </w:rPr>
        <w:t xml:space="preserve"> responsible for making investment decisions that comply with this Policy.  </w:t>
      </w:r>
    </w:p>
    <w:p w14:paraId="056000EC" w14:textId="77777777" w:rsidR="006F2E9C" w:rsidRPr="008F353E" w:rsidRDefault="006F2E9C" w:rsidP="008F353E">
      <w:pPr>
        <w:rPr>
          <w:rFonts w:cstheme="minorHAnsi"/>
          <w:sz w:val="22"/>
          <w:szCs w:val="22"/>
        </w:rPr>
      </w:pPr>
      <w:r w:rsidRPr="008F353E">
        <w:rPr>
          <w:rFonts w:cstheme="minorHAnsi"/>
          <w:sz w:val="22"/>
          <w:szCs w:val="22"/>
        </w:rPr>
        <w:t xml:space="preserve">The opening or closing of bank accounts should be authorised in line with the current ODBST Financial Manual.  </w:t>
      </w:r>
    </w:p>
    <w:p w14:paraId="4F10139B" w14:textId="77777777" w:rsidR="006F2E9C" w:rsidRPr="008F353E" w:rsidRDefault="006F2E9C" w:rsidP="006F2E9C">
      <w:pPr>
        <w:spacing w:after="10" w:line="249" w:lineRule="auto"/>
        <w:ind w:left="715" w:hanging="10"/>
        <w:rPr>
          <w:rFonts w:cstheme="minorHAnsi"/>
          <w:sz w:val="22"/>
          <w:szCs w:val="22"/>
        </w:rPr>
      </w:pPr>
    </w:p>
    <w:p w14:paraId="36CD1227" w14:textId="77777777" w:rsidR="006F2E9C" w:rsidRPr="008F353E" w:rsidRDefault="006F2E9C" w:rsidP="008F353E">
      <w:pPr>
        <w:pStyle w:val="Heading1"/>
        <w:rPr>
          <w:sz w:val="22"/>
          <w:szCs w:val="22"/>
        </w:rPr>
      </w:pPr>
      <w:bookmarkStart w:id="9" w:name="_Toc800010008"/>
      <w:r w:rsidRPr="008F353E">
        <w:rPr>
          <w:sz w:val="22"/>
          <w:szCs w:val="22"/>
        </w:rPr>
        <w:t xml:space="preserve">Monitoring &amp; Reporting  </w:t>
      </w:r>
      <w:bookmarkEnd w:id="9"/>
    </w:p>
    <w:p w14:paraId="743E2AC5" w14:textId="77777777" w:rsidR="006F2E9C" w:rsidRPr="008F353E" w:rsidRDefault="006F2E9C" w:rsidP="008F353E">
      <w:pPr>
        <w:spacing w:after="47"/>
        <w:rPr>
          <w:rFonts w:cstheme="minorHAnsi"/>
          <w:sz w:val="22"/>
          <w:szCs w:val="22"/>
        </w:rPr>
      </w:pPr>
      <w:r w:rsidRPr="008F353E">
        <w:rPr>
          <w:rFonts w:cstheme="minorHAnsi"/>
          <w:sz w:val="22"/>
          <w:szCs w:val="22"/>
        </w:rPr>
        <w:t xml:space="preserve">The CFO will report investments held and the performance of investments against objectives to the FRAPP Committee for review each time it meets or when requested to do so. The reporting should include: </w:t>
      </w:r>
    </w:p>
    <w:p w14:paraId="0FFBC826"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Funds invested </w:t>
      </w:r>
    </w:p>
    <w:p w14:paraId="493A0197"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Maturity dates </w:t>
      </w:r>
    </w:p>
    <w:p w14:paraId="515BE901"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Interest rates </w:t>
      </w:r>
    </w:p>
    <w:p w14:paraId="4E069B76"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Current market rates </w:t>
      </w:r>
    </w:p>
    <w:p w14:paraId="6E86DE5F"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Blended returns achieved against expected performance and policy benchmarks </w:t>
      </w:r>
    </w:p>
    <w:p w14:paraId="470DE0EA" w14:textId="77777777" w:rsidR="006F2E9C" w:rsidRPr="008F353E" w:rsidRDefault="006F2E9C" w:rsidP="00AE4003">
      <w:pPr>
        <w:numPr>
          <w:ilvl w:val="0"/>
          <w:numId w:val="60"/>
        </w:numPr>
        <w:spacing w:after="10" w:line="249" w:lineRule="auto"/>
        <w:ind w:left="725" w:hanging="360"/>
        <w:rPr>
          <w:rFonts w:cstheme="minorHAnsi"/>
          <w:sz w:val="22"/>
          <w:szCs w:val="22"/>
        </w:rPr>
      </w:pPr>
      <w:r w:rsidRPr="008F353E">
        <w:rPr>
          <w:rFonts w:cstheme="minorHAnsi"/>
          <w:sz w:val="22"/>
          <w:szCs w:val="22"/>
        </w:rPr>
        <w:t xml:space="preserve">Latest cash flows showing 12-month liquidity requirements </w:t>
      </w:r>
    </w:p>
    <w:p w14:paraId="430E9C0D" w14:textId="41160E93" w:rsidR="006F2E9C" w:rsidRPr="00455091" w:rsidRDefault="006F2E9C" w:rsidP="00455091">
      <w:pPr>
        <w:numPr>
          <w:ilvl w:val="0"/>
          <w:numId w:val="60"/>
        </w:numPr>
        <w:spacing w:after="61" w:line="249" w:lineRule="auto"/>
        <w:ind w:left="725" w:hanging="360"/>
        <w:rPr>
          <w:rFonts w:cstheme="minorHAnsi"/>
          <w:sz w:val="22"/>
          <w:szCs w:val="22"/>
        </w:rPr>
      </w:pPr>
      <w:r w:rsidRPr="008F353E">
        <w:rPr>
          <w:rFonts w:cstheme="minorHAnsi"/>
          <w:sz w:val="22"/>
          <w:szCs w:val="22"/>
        </w:rPr>
        <w:t xml:space="preserve">Recommendations for the next 3 months. </w:t>
      </w:r>
    </w:p>
    <w:p w14:paraId="2285865A" w14:textId="77777777" w:rsidR="006F2E9C" w:rsidRPr="008F353E" w:rsidRDefault="006F2E9C" w:rsidP="008F353E">
      <w:pPr>
        <w:pStyle w:val="Heading1"/>
        <w:rPr>
          <w:sz w:val="22"/>
          <w:szCs w:val="22"/>
        </w:rPr>
      </w:pPr>
      <w:bookmarkStart w:id="10" w:name="_Toc800010009"/>
      <w:r w:rsidRPr="008F353E">
        <w:rPr>
          <w:sz w:val="22"/>
          <w:szCs w:val="22"/>
        </w:rPr>
        <w:t>Review</w:t>
      </w:r>
      <w:bookmarkEnd w:id="10"/>
    </w:p>
    <w:p w14:paraId="00AEA1D3" w14:textId="2B236FE3" w:rsidR="006F2E9C" w:rsidRPr="008F353E" w:rsidRDefault="006F2E9C" w:rsidP="00455091">
      <w:pPr>
        <w:spacing w:after="96" w:line="259" w:lineRule="auto"/>
        <w:jc w:val="left"/>
        <w:rPr>
          <w:rFonts w:cstheme="minorHAnsi"/>
          <w:bCs/>
          <w:iCs/>
          <w:sz w:val="22"/>
          <w:szCs w:val="22"/>
        </w:rPr>
      </w:pPr>
      <w:r w:rsidRPr="008F353E">
        <w:rPr>
          <w:rFonts w:cstheme="minorHAnsi"/>
          <w:sz w:val="22"/>
          <w:szCs w:val="22"/>
        </w:rPr>
        <w:t xml:space="preserve">Trustees should review the Investment policy to ensure it is still fit for purpose </w:t>
      </w:r>
      <w:r w:rsidRPr="008F353E">
        <w:rPr>
          <w:rFonts w:cstheme="minorHAnsi"/>
          <w:bCs/>
          <w:iCs/>
          <w:sz w:val="22"/>
          <w:szCs w:val="22"/>
        </w:rPr>
        <w:t xml:space="preserve">annually. </w:t>
      </w:r>
    </w:p>
    <w:p w14:paraId="4682BBCC" w14:textId="77777777" w:rsidR="006F2E9C" w:rsidRPr="008F353E" w:rsidRDefault="006F2E9C" w:rsidP="008F353E">
      <w:pPr>
        <w:pStyle w:val="Heading1"/>
        <w:rPr>
          <w:sz w:val="22"/>
          <w:szCs w:val="22"/>
        </w:rPr>
      </w:pPr>
      <w:bookmarkStart w:id="11" w:name="_Toc800010010"/>
      <w:r w:rsidRPr="008F353E">
        <w:rPr>
          <w:sz w:val="22"/>
          <w:szCs w:val="22"/>
        </w:rPr>
        <w:t>Authorisation of cash transfers</w:t>
      </w:r>
      <w:bookmarkEnd w:id="11"/>
    </w:p>
    <w:p w14:paraId="206B5808" w14:textId="77777777" w:rsidR="006F2E9C" w:rsidRPr="008F353E" w:rsidRDefault="006F2E9C" w:rsidP="008F353E">
      <w:pPr>
        <w:rPr>
          <w:rFonts w:cstheme="minorHAnsi"/>
          <w:sz w:val="22"/>
          <w:szCs w:val="22"/>
        </w:rPr>
      </w:pPr>
      <w:r w:rsidRPr="008F353E">
        <w:rPr>
          <w:rFonts w:cstheme="minorHAnsi"/>
          <w:sz w:val="22"/>
          <w:szCs w:val="22"/>
        </w:rPr>
        <w:t>2 individuals within the finance team will have the capacity to set up a cash transfer</w:t>
      </w:r>
      <w:r w:rsidR="008F353E">
        <w:rPr>
          <w:rFonts w:cstheme="minorHAnsi"/>
          <w:sz w:val="22"/>
          <w:szCs w:val="22"/>
        </w:rPr>
        <w:t>.</w:t>
      </w:r>
    </w:p>
    <w:p w14:paraId="511CDE75" w14:textId="311DBA5B" w:rsidR="006F2E9C" w:rsidRPr="008F353E" w:rsidRDefault="006F2E9C" w:rsidP="008F353E">
      <w:pPr>
        <w:rPr>
          <w:rFonts w:cstheme="minorHAnsi"/>
          <w:sz w:val="22"/>
          <w:szCs w:val="22"/>
        </w:rPr>
      </w:pPr>
      <w:r w:rsidRPr="008F353E">
        <w:rPr>
          <w:rFonts w:cstheme="minorHAnsi"/>
          <w:sz w:val="22"/>
          <w:szCs w:val="22"/>
        </w:rPr>
        <w:t>Authorisation of the transfer will then require a secondary approval from either the CEO, CFO or</w:t>
      </w:r>
      <w:r w:rsidR="00822A7C">
        <w:rPr>
          <w:rFonts w:cstheme="minorHAnsi"/>
          <w:sz w:val="22"/>
          <w:szCs w:val="22"/>
        </w:rPr>
        <w:t xml:space="preserve"> Deputy CFO.</w:t>
      </w:r>
    </w:p>
    <w:p w14:paraId="5B8F0725" w14:textId="77777777" w:rsidR="00912657" w:rsidRPr="008F353E" w:rsidRDefault="00912657" w:rsidP="00E433F4">
      <w:pPr>
        <w:ind w:right="-1"/>
        <w:rPr>
          <w:rFonts w:ascii="Calibri" w:hAnsi="Calibri" w:cs="Calibri"/>
        </w:rPr>
      </w:pPr>
    </w:p>
    <w:p w14:paraId="1911EBB6" w14:textId="77777777" w:rsidR="00DB7620" w:rsidRDefault="00521BB4">
      <w:pPr>
        <w:spacing w:after="200" w:line="276" w:lineRule="auto"/>
        <w:jc w:val="left"/>
        <w:rPr>
          <w:rFonts w:ascii="Calibri" w:hAnsi="Calibri" w:cs="Calibri"/>
        </w:rPr>
      </w:pPr>
      <w:r w:rsidRPr="003E62E3">
        <w:rPr>
          <w:noProof/>
        </w:rPr>
        <mc:AlternateContent>
          <mc:Choice Requires="wps">
            <w:drawing>
              <wp:anchor distT="0" distB="0" distL="114300" distR="114300" simplePos="0" relativeHeight="251658278" behindDoc="0" locked="0" layoutInCell="1" allowOverlap="1" wp14:anchorId="6F5CE964" wp14:editId="7BFC16CD">
                <wp:simplePos x="0" y="0"/>
                <wp:positionH relativeFrom="page">
                  <wp:posOffset>-867410</wp:posOffset>
                </wp:positionH>
                <wp:positionV relativeFrom="topMargin">
                  <wp:align>bottom</wp:align>
                </wp:positionV>
                <wp:extent cx="8427720" cy="371475"/>
                <wp:effectExtent l="0" t="0" r="0" b="0"/>
                <wp:wrapNone/>
                <wp:docPr id="1035817848" name="Text Box 1035817848"/>
                <wp:cNvGraphicFramePr/>
                <a:graphic xmlns:a="http://schemas.openxmlformats.org/drawingml/2006/main">
                  <a:graphicData uri="http://schemas.microsoft.com/office/word/2010/wordprocessingShape">
                    <wps:wsp>
                      <wps:cNvSpPr txBox="1"/>
                      <wps:spPr>
                        <a:xfrm>
                          <a:off x="0" y="0"/>
                          <a:ext cx="8427720" cy="371475"/>
                        </a:xfrm>
                        <a:prstGeom prst="rect">
                          <a:avLst/>
                        </a:prstGeom>
                        <a:noFill/>
                        <a:ln w="6350">
                          <a:noFill/>
                        </a:ln>
                      </wps:spPr>
                      <wps:txbx>
                        <w:txbxContent>
                          <w:p w14:paraId="2102ECA6" w14:textId="77777777" w:rsidR="006F2E9C" w:rsidRPr="000C4ECE" w:rsidRDefault="006F2E9C" w:rsidP="006F2E9C">
                            <w:pPr>
                              <w:ind w:right="2096"/>
                              <w:jc w:val="center"/>
                              <w:rPr>
                                <w:b/>
                                <w:bCs/>
                                <w:color w:val="FFFFFF" w:themeColor="background1"/>
                                <w:sz w:val="28"/>
                                <w:szCs w:val="28"/>
                              </w:rPr>
                            </w:pPr>
                            <w:r>
                              <w:rPr>
                                <w:b/>
                                <w:bCs/>
                                <w:color w:val="FFFFFF" w:themeColor="background1"/>
                                <w:sz w:val="28"/>
                                <w:szCs w:val="28"/>
                              </w:rPr>
                              <w:t xml:space="preserve">                                   </w:t>
                            </w:r>
                            <w:r w:rsidRPr="008B58DF">
                              <w:rPr>
                                <w:b/>
                                <w:bCs/>
                                <w:color w:val="FFFFFF" w:themeColor="background1"/>
                              </w:rPr>
                              <w:t>We aspire for every pupil and adult to ‘experience life in all its fullness’ (John</w:t>
                            </w:r>
                            <w:r w:rsidRPr="000C4ECE">
                              <w:rPr>
                                <w:b/>
                                <w:bCs/>
                                <w:color w:val="FFFFFF" w:themeColor="background1"/>
                                <w:sz w:val="28"/>
                                <w:szCs w:val="28"/>
                              </w:rPr>
                              <w:t xml:space="preserve">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5CE964" id="Text Box 1035817848" o:spid="_x0000_s1028" type="#_x0000_t202" style="position:absolute;margin-left:-68.3pt;margin-top:0;width:663.6pt;height:29.25pt;z-index:251658278;visibility:visible;mso-wrap-style:square;mso-width-percent:0;mso-wrap-distance-left:9pt;mso-wrap-distance-top:0;mso-wrap-distance-right:9pt;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" filled="f" stroked="f" strokeweight=".5pt">
                <v:textbox>
                  <w:txbxContent>
                    <w:p w14:paraId="2102ECA6" w14:textId="77777777" w:rsidR="006F2E9C" w:rsidRPr="000C4ECE" w:rsidRDefault="006F2E9C" w:rsidP="006F2E9C">
                      <w:pPr>
                        <w:ind w:right="2096"/>
                        <w:jc w:val="center"/>
                        <w:rPr>
                          <w:b/>
                          <w:bCs/>
                          <w:color w:val="FFFFFF" w:themeColor="background1"/>
                          <w:sz w:val="28"/>
                          <w:szCs w:val="28"/>
                        </w:rPr>
                      </w:pPr>
                      <w:r>
                        <w:rPr>
                          <w:b/>
                          <w:bCs/>
                          <w:color w:val="FFFFFF" w:themeColor="background1"/>
                          <w:sz w:val="28"/>
                          <w:szCs w:val="28"/>
                        </w:rPr>
                        <w:t xml:space="preserve">                                   </w:t>
                      </w:r>
                      <w:r w:rsidRPr="008B58DF">
                        <w:rPr>
                          <w:b/>
                          <w:bCs/>
                          <w:color w:val="FFFFFF" w:themeColor="background1"/>
                        </w:rPr>
                        <w:t>We aspire for every pupil and adult to ‘experience life in all its fullness’ (John</w:t>
                      </w:r>
                      <w:r w:rsidRPr="000C4ECE">
                        <w:rPr>
                          <w:b/>
                          <w:bCs/>
                          <w:color w:val="FFFFFF" w:themeColor="background1"/>
                          <w:sz w:val="28"/>
                          <w:szCs w:val="28"/>
                        </w:rPr>
                        <w:t xml:space="preserve"> 10:10)</w:t>
                      </w:r>
                    </w:p>
                  </w:txbxContent>
                </v:textbox>
                <w10:wrap anchorx="page" anchory="margin"/>
              </v:shape>
            </w:pict>
          </mc:Fallback>
        </mc:AlternateContent>
      </w:r>
    </w:p>
    <w:sectPr w:rsidR="00DB7620" w:rsidSect="00A05985">
      <w:footerReference w:type="default" r:id="rId13"/>
      <w:footerReference w:type="first" r:id="rId14"/>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FDB8F" w14:textId="77777777" w:rsidR="00D571A0" w:rsidRDefault="00D571A0" w:rsidP="00641A5F">
      <w:r>
        <w:separator/>
      </w:r>
    </w:p>
  </w:endnote>
  <w:endnote w:type="continuationSeparator" w:id="0">
    <w:p w14:paraId="362F95E3" w14:textId="77777777" w:rsidR="00D571A0" w:rsidRDefault="00D571A0" w:rsidP="00641A5F">
      <w:r>
        <w:continuationSeparator/>
      </w:r>
    </w:p>
  </w:endnote>
  <w:endnote w:type="continuationNotice" w:id="1">
    <w:p w14:paraId="4802BE69" w14:textId="77777777" w:rsidR="00D571A0" w:rsidRDefault="00D571A0"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164828"/>
      <w:docPartObj>
        <w:docPartGallery w:val="Page Numbers (Bottom of Page)"/>
        <w:docPartUnique/>
      </w:docPartObj>
    </w:sdtPr>
    <w:sdtEndPr/>
    <w:sdtContent>
      <w:sdt>
        <w:sdtPr>
          <w:id w:val="-764843572"/>
          <w:docPartObj>
            <w:docPartGallery w:val="Page Numbers (Top of Page)"/>
            <w:docPartUnique/>
          </w:docPartObj>
        </w:sdtPr>
        <w:sdtEndPr/>
        <w:sdtContent>
          <w:p w14:paraId="61E3914A"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249B2B3" w14:textId="77777777" w:rsidR="00170628" w:rsidRPr="00912657" w:rsidRDefault="00170628" w:rsidP="00912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715522"/>
      <w:docPartObj>
        <w:docPartGallery w:val="Page Numbers (Bottom of Page)"/>
        <w:docPartUnique/>
      </w:docPartObj>
    </w:sdtPr>
    <w:sdtEndPr/>
    <w:sdtContent>
      <w:sdt>
        <w:sdtPr>
          <w:id w:val="-200399387"/>
          <w:docPartObj>
            <w:docPartGallery w:val="Page Numbers (Top of Page)"/>
            <w:docPartUnique/>
          </w:docPartObj>
        </w:sdtPr>
        <w:sdtEndPr/>
        <w:sdtContent>
          <w:p w14:paraId="521DC9AA"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BCE50BA"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4B2B8" w14:textId="77777777" w:rsidR="00D571A0" w:rsidRDefault="00D571A0" w:rsidP="00641A5F">
      <w:r>
        <w:separator/>
      </w:r>
    </w:p>
  </w:footnote>
  <w:footnote w:type="continuationSeparator" w:id="0">
    <w:p w14:paraId="04A533C8" w14:textId="77777777" w:rsidR="00D571A0" w:rsidRDefault="00D571A0" w:rsidP="00641A5F">
      <w:r>
        <w:continuationSeparator/>
      </w:r>
    </w:p>
  </w:footnote>
  <w:footnote w:type="continuationNotice" w:id="1">
    <w:p w14:paraId="795C66AD" w14:textId="77777777" w:rsidR="00D571A0" w:rsidRDefault="00D571A0"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14F70"/>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34E"/>
    <w:rsid w:val="0008770B"/>
    <w:rsid w:val="00091D11"/>
    <w:rsid w:val="00094E0B"/>
    <w:rsid w:val="000952F0"/>
    <w:rsid w:val="00096BED"/>
    <w:rsid w:val="00097E8E"/>
    <w:rsid w:val="000A1CB5"/>
    <w:rsid w:val="000A37A8"/>
    <w:rsid w:val="000A55B5"/>
    <w:rsid w:val="000A6192"/>
    <w:rsid w:val="000B08AF"/>
    <w:rsid w:val="000B2CB6"/>
    <w:rsid w:val="000B3F16"/>
    <w:rsid w:val="000B6812"/>
    <w:rsid w:val="000C3E9C"/>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8B0"/>
    <w:rsid w:val="00136752"/>
    <w:rsid w:val="00137CCF"/>
    <w:rsid w:val="00141A76"/>
    <w:rsid w:val="00142D18"/>
    <w:rsid w:val="001434DC"/>
    <w:rsid w:val="00147321"/>
    <w:rsid w:val="00150B3A"/>
    <w:rsid w:val="001511E4"/>
    <w:rsid w:val="00153893"/>
    <w:rsid w:val="00154315"/>
    <w:rsid w:val="0015614D"/>
    <w:rsid w:val="00157DA2"/>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4F3D"/>
    <w:rsid w:val="001C7D2C"/>
    <w:rsid w:val="001D38EB"/>
    <w:rsid w:val="001D47A8"/>
    <w:rsid w:val="001D56D9"/>
    <w:rsid w:val="001D5A0B"/>
    <w:rsid w:val="001D7B9E"/>
    <w:rsid w:val="001E08D6"/>
    <w:rsid w:val="001E3261"/>
    <w:rsid w:val="001F0C5F"/>
    <w:rsid w:val="001F1191"/>
    <w:rsid w:val="001F1588"/>
    <w:rsid w:val="001F15A5"/>
    <w:rsid w:val="001F1CCC"/>
    <w:rsid w:val="001F2A08"/>
    <w:rsid w:val="001F3F29"/>
    <w:rsid w:val="001F434F"/>
    <w:rsid w:val="001F4E23"/>
    <w:rsid w:val="001F68EB"/>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4FE"/>
    <w:rsid w:val="00235986"/>
    <w:rsid w:val="002362C5"/>
    <w:rsid w:val="00240CB1"/>
    <w:rsid w:val="00241021"/>
    <w:rsid w:val="00241FC3"/>
    <w:rsid w:val="00244235"/>
    <w:rsid w:val="002464DF"/>
    <w:rsid w:val="002473E1"/>
    <w:rsid w:val="00252740"/>
    <w:rsid w:val="00253572"/>
    <w:rsid w:val="002549DD"/>
    <w:rsid w:val="00255841"/>
    <w:rsid w:val="00255EBD"/>
    <w:rsid w:val="00261719"/>
    <w:rsid w:val="0026192B"/>
    <w:rsid w:val="00264DC9"/>
    <w:rsid w:val="0026659D"/>
    <w:rsid w:val="00266C2B"/>
    <w:rsid w:val="002735F3"/>
    <w:rsid w:val="00276C14"/>
    <w:rsid w:val="0028023A"/>
    <w:rsid w:val="00281778"/>
    <w:rsid w:val="00282BF5"/>
    <w:rsid w:val="002840FB"/>
    <w:rsid w:val="002850B3"/>
    <w:rsid w:val="0028645F"/>
    <w:rsid w:val="00286AA4"/>
    <w:rsid w:val="00286B6B"/>
    <w:rsid w:val="00287FD5"/>
    <w:rsid w:val="002912D0"/>
    <w:rsid w:val="00293663"/>
    <w:rsid w:val="00293668"/>
    <w:rsid w:val="00295A18"/>
    <w:rsid w:val="0029743E"/>
    <w:rsid w:val="002976C3"/>
    <w:rsid w:val="002A0E7C"/>
    <w:rsid w:val="002A1332"/>
    <w:rsid w:val="002A5693"/>
    <w:rsid w:val="002A6B5E"/>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39FD"/>
    <w:rsid w:val="002E49E7"/>
    <w:rsid w:val="002E736E"/>
    <w:rsid w:val="002F0D77"/>
    <w:rsid w:val="002F1188"/>
    <w:rsid w:val="002F1EEE"/>
    <w:rsid w:val="002F6115"/>
    <w:rsid w:val="002F70FB"/>
    <w:rsid w:val="002F7AD0"/>
    <w:rsid w:val="00301085"/>
    <w:rsid w:val="00301BD7"/>
    <w:rsid w:val="00304BB1"/>
    <w:rsid w:val="00304D86"/>
    <w:rsid w:val="0030690D"/>
    <w:rsid w:val="00311728"/>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78EF"/>
    <w:rsid w:val="00337EC1"/>
    <w:rsid w:val="00340431"/>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64F2"/>
    <w:rsid w:val="003A7A5C"/>
    <w:rsid w:val="003A7D14"/>
    <w:rsid w:val="003B2E4C"/>
    <w:rsid w:val="003B502C"/>
    <w:rsid w:val="003B5AF1"/>
    <w:rsid w:val="003B609A"/>
    <w:rsid w:val="003B7AEE"/>
    <w:rsid w:val="003C395B"/>
    <w:rsid w:val="003C3DDC"/>
    <w:rsid w:val="003C6406"/>
    <w:rsid w:val="003C71DC"/>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5EFD"/>
    <w:rsid w:val="00406FD2"/>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3014"/>
    <w:rsid w:val="0044391B"/>
    <w:rsid w:val="004441D7"/>
    <w:rsid w:val="004462D9"/>
    <w:rsid w:val="00447FA0"/>
    <w:rsid w:val="00451795"/>
    <w:rsid w:val="00452E15"/>
    <w:rsid w:val="00454123"/>
    <w:rsid w:val="00455091"/>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5FF5"/>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1BB4"/>
    <w:rsid w:val="00523F55"/>
    <w:rsid w:val="00524A1F"/>
    <w:rsid w:val="00525834"/>
    <w:rsid w:val="00526607"/>
    <w:rsid w:val="00530C04"/>
    <w:rsid w:val="00531DEB"/>
    <w:rsid w:val="005329BB"/>
    <w:rsid w:val="00534A43"/>
    <w:rsid w:val="0053549C"/>
    <w:rsid w:val="005366EB"/>
    <w:rsid w:val="00536B9D"/>
    <w:rsid w:val="00540BDF"/>
    <w:rsid w:val="00544139"/>
    <w:rsid w:val="00544261"/>
    <w:rsid w:val="00544726"/>
    <w:rsid w:val="005452A9"/>
    <w:rsid w:val="005513A3"/>
    <w:rsid w:val="005515E6"/>
    <w:rsid w:val="00551B8C"/>
    <w:rsid w:val="005520CF"/>
    <w:rsid w:val="0055223F"/>
    <w:rsid w:val="0055256B"/>
    <w:rsid w:val="005532F1"/>
    <w:rsid w:val="005534A5"/>
    <w:rsid w:val="00553CDA"/>
    <w:rsid w:val="00554860"/>
    <w:rsid w:val="00555721"/>
    <w:rsid w:val="00556369"/>
    <w:rsid w:val="00556A70"/>
    <w:rsid w:val="00562967"/>
    <w:rsid w:val="00562EB1"/>
    <w:rsid w:val="00563428"/>
    <w:rsid w:val="0056350D"/>
    <w:rsid w:val="005638A1"/>
    <w:rsid w:val="00564286"/>
    <w:rsid w:val="005703F8"/>
    <w:rsid w:val="00570B1B"/>
    <w:rsid w:val="005713C7"/>
    <w:rsid w:val="00571558"/>
    <w:rsid w:val="00572B50"/>
    <w:rsid w:val="00574166"/>
    <w:rsid w:val="005777B6"/>
    <w:rsid w:val="0058132D"/>
    <w:rsid w:val="00582422"/>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533F"/>
    <w:rsid w:val="005B666D"/>
    <w:rsid w:val="005B66F9"/>
    <w:rsid w:val="005B73D4"/>
    <w:rsid w:val="005B7CA3"/>
    <w:rsid w:val="005C0524"/>
    <w:rsid w:val="005C1A10"/>
    <w:rsid w:val="005C69BD"/>
    <w:rsid w:val="005C72EB"/>
    <w:rsid w:val="005C79BF"/>
    <w:rsid w:val="005D0EDA"/>
    <w:rsid w:val="005D39B5"/>
    <w:rsid w:val="005D3CBE"/>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2DBB"/>
    <w:rsid w:val="007550B5"/>
    <w:rsid w:val="007564C4"/>
    <w:rsid w:val="00757751"/>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90138"/>
    <w:rsid w:val="00793DD5"/>
    <w:rsid w:val="00794A42"/>
    <w:rsid w:val="00796F6A"/>
    <w:rsid w:val="00797C1E"/>
    <w:rsid w:val="007A07F0"/>
    <w:rsid w:val="007A3D51"/>
    <w:rsid w:val="007A3EE2"/>
    <w:rsid w:val="007A528D"/>
    <w:rsid w:val="007A5501"/>
    <w:rsid w:val="007A6893"/>
    <w:rsid w:val="007B19CC"/>
    <w:rsid w:val="007B2D25"/>
    <w:rsid w:val="007B2F59"/>
    <w:rsid w:val="007B3F0F"/>
    <w:rsid w:val="007C51EE"/>
    <w:rsid w:val="007C55ED"/>
    <w:rsid w:val="007D058F"/>
    <w:rsid w:val="007D3678"/>
    <w:rsid w:val="007D410B"/>
    <w:rsid w:val="007D6590"/>
    <w:rsid w:val="007E17EB"/>
    <w:rsid w:val="007E1A38"/>
    <w:rsid w:val="007E2F5B"/>
    <w:rsid w:val="007E3F1B"/>
    <w:rsid w:val="007E668A"/>
    <w:rsid w:val="007F0F61"/>
    <w:rsid w:val="007F3CA1"/>
    <w:rsid w:val="007F4663"/>
    <w:rsid w:val="007F6EC4"/>
    <w:rsid w:val="00800301"/>
    <w:rsid w:val="00800632"/>
    <w:rsid w:val="00800B8D"/>
    <w:rsid w:val="0080202E"/>
    <w:rsid w:val="00804046"/>
    <w:rsid w:val="00810967"/>
    <w:rsid w:val="0081218A"/>
    <w:rsid w:val="00812C91"/>
    <w:rsid w:val="00813A3A"/>
    <w:rsid w:val="00817808"/>
    <w:rsid w:val="00817EE3"/>
    <w:rsid w:val="00820416"/>
    <w:rsid w:val="008204ED"/>
    <w:rsid w:val="00821517"/>
    <w:rsid w:val="00822A7C"/>
    <w:rsid w:val="00822BAF"/>
    <w:rsid w:val="00824F87"/>
    <w:rsid w:val="0082740C"/>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2EDF"/>
    <w:rsid w:val="008E3835"/>
    <w:rsid w:val="008E3D74"/>
    <w:rsid w:val="008E4E2E"/>
    <w:rsid w:val="008E51C9"/>
    <w:rsid w:val="008E5418"/>
    <w:rsid w:val="008F0493"/>
    <w:rsid w:val="008F17F0"/>
    <w:rsid w:val="008F1B48"/>
    <w:rsid w:val="008F353E"/>
    <w:rsid w:val="008F5030"/>
    <w:rsid w:val="008F68CF"/>
    <w:rsid w:val="009017F1"/>
    <w:rsid w:val="00901876"/>
    <w:rsid w:val="009039C8"/>
    <w:rsid w:val="0090604E"/>
    <w:rsid w:val="0090626B"/>
    <w:rsid w:val="00912657"/>
    <w:rsid w:val="00915E5B"/>
    <w:rsid w:val="00917C44"/>
    <w:rsid w:val="0092063B"/>
    <w:rsid w:val="00920C27"/>
    <w:rsid w:val="009227E2"/>
    <w:rsid w:val="00924255"/>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3B48"/>
    <w:rsid w:val="00A140DC"/>
    <w:rsid w:val="00A17B78"/>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7C29"/>
    <w:rsid w:val="00A67E08"/>
    <w:rsid w:val="00A705FB"/>
    <w:rsid w:val="00A71F42"/>
    <w:rsid w:val="00A741C8"/>
    <w:rsid w:val="00A8034C"/>
    <w:rsid w:val="00A8092E"/>
    <w:rsid w:val="00A82E38"/>
    <w:rsid w:val="00A82E40"/>
    <w:rsid w:val="00A84D9E"/>
    <w:rsid w:val="00A857A7"/>
    <w:rsid w:val="00A85839"/>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4482"/>
    <w:rsid w:val="00B410EB"/>
    <w:rsid w:val="00B46FEB"/>
    <w:rsid w:val="00B47146"/>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D7C"/>
    <w:rsid w:val="00B738F8"/>
    <w:rsid w:val="00B73960"/>
    <w:rsid w:val="00B76B14"/>
    <w:rsid w:val="00B801FF"/>
    <w:rsid w:val="00B81647"/>
    <w:rsid w:val="00B81CFF"/>
    <w:rsid w:val="00B82F6E"/>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F34DD"/>
    <w:rsid w:val="00BF72BE"/>
    <w:rsid w:val="00C0151C"/>
    <w:rsid w:val="00C01FFE"/>
    <w:rsid w:val="00C02B87"/>
    <w:rsid w:val="00C07C4E"/>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C1D8C"/>
    <w:rsid w:val="00CC4D7C"/>
    <w:rsid w:val="00CC6DD7"/>
    <w:rsid w:val="00CD016A"/>
    <w:rsid w:val="00CD36A2"/>
    <w:rsid w:val="00CD4E77"/>
    <w:rsid w:val="00CD6BDD"/>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4F25"/>
    <w:rsid w:val="00D22A54"/>
    <w:rsid w:val="00D23DFA"/>
    <w:rsid w:val="00D247B9"/>
    <w:rsid w:val="00D24814"/>
    <w:rsid w:val="00D248A9"/>
    <w:rsid w:val="00D27DE6"/>
    <w:rsid w:val="00D316E0"/>
    <w:rsid w:val="00D319D9"/>
    <w:rsid w:val="00D367F8"/>
    <w:rsid w:val="00D4002D"/>
    <w:rsid w:val="00D416D2"/>
    <w:rsid w:val="00D41D6F"/>
    <w:rsid w:val="00D421D2"/>
    <w:rsid w:val="00D454AB"/>
    <w:rsid w:val="00D45F16"/>
    <w:rsid w:val="00D46F6D"/>
    <w:rsid w:val="00D510B6"/>
    <w:rsid w:val="00D5325E"/>
    <w:rsid w:val="00D53EB2"/>
    <w:rsid w:val="00D56788"/>
    <w:rsid w:val="00D571A0"/>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87E"/>
    <w:rsid w:val="00E307F5"/>
    <w:rsid w:val="00E30BA8"/>
    <w:rsid w:val="00E323B0"/>
    <w:rsid w:val="00E35AD6"/>
    <w:rsid w:val="00E367D0"/>
    <w:rsid w:val="00E371B5"/>
    <w:rsid w:val="00E40399"/>
    <w:rsid w:val="00E40A12"/>
    <w:rsid w:val="00E419DC"/>
    <w:rsid w:val="00E433F4"/>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3FC"/>
    <w:rsid w:val="00E85F72"/>
    <w:rsid w:val="00E87389"/>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80E"/>
    <w:rsid w:val="00EA7663"/>
    <w:rsid w:val="00EA7F80"/>
    <w:rsid w:val="00EB12EA"/>
    <w:rsid w:val="00EB1D9B"/>
    <w:rsid w:val="00EB3781"/>
    <w:rsid w:val="00EB721B"/>
    <w:rsid w:val="00EB77C6"/>
    <w:rsid w:val="00EC16ED"/>
    <w:rsid w:val="00EC1CEB"/>
    <w:rsid w:val="00EC2203"/>
    <w:rsid w:val="00EC58FC"/>
    <w:rsid w:val="00EC6CBE"/>
    <w:rsid w:val="00ED077A"/>
    <w:rsid w:val="00ED42E9"/>
    <w:rsid w:val="00ED5715"/>
    <w:rsid w:val="00ED7E31"/>
    <w:rsid w:val="00EE05C6"/>
    <w:rsid w:val="00EE10BC"/>
    <w:rsid w:val="00EE1556"/>
    <w:rsid w:val="00EE2650"/>
    <w:rsid w:val="00EE3244"/>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11C4"/>
    <w:rsid w:val="00FF4B39"/>
    <w:rsid w:val="00FF4FC2"/>
    <w:rsid w:val="00FF6608"/>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94D47"/>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2.xml><?xml version="1.0" encoding="utf-8"?>
<ds:datastoreItem xmlns:ds="http://schemas.openxmlformats.org/officeDocument/2006/customXml" ds:itemID="{591109D4-6BB9-4891-B2BB-7A3906696FA8}"/>
</file>

<file path=customXml/itemProps3.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E717E1E5-3D29-4D53-98E9-579A5B637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5</Pages>
  <Words>993</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Investment Policy</dc:title>
  <dc:subject>Policy document</dc:subject>
  <dc:creator>Green Commute Initiative</dc:creator>
  <cp:lastModifiedBy>Rachel Brown</cp:lastModifiedBy>
  <cp:revision>8</cp:revision>
  <cp:lastPrinted>2025-12-03T11:11:00Z</cp:lastPrinted>
  <dcterms:created xsi:type="dcterms:W3CDTF">2026-09-17T21:30:00Z</dcterms:created>
  <dcterms:modified xsi:type="dcterms:W3CDTF">2026-09-18T13:24:00Z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ies>
</file>